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316A" w:rsidRDefault="00F6479F">
      <w:pPr>
        <w:spacing w:after="80"/>
        <w:jc w:val="center"/>
        <w:rPr>
          <w:rFonts w:ascii="Arial" w:eastAsia="Arial" w:hAnsi="Arial" w:cs="Arial"/>
          <w:color w:val="2F5496"/>
        </w:rPr>
      </w:pPr>
      <w:r>
        <w:rPr>
          <w:b/>
          <w:color w:val="7F7F7F"/>
          <w:sz w:val="20"/>
        </w:rPr>
        <w:br/>
      </w:r>
      <w:r>
        <w:rPr>
          <w:noProof/>
          <w:lang w:eastAsia="it-IT"/>
        </w:rPr>
        <w:drawing>
          <wp:inline distT="0" distB="0" distL="0" distR="0">
            <wp:extent cx="1428115" cy="976630"/>
            <wp:effectExtent l="0" t="0" r="0" b="0"/>
            <wp:docPr id="1" name="Immagin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3"/>
                    <pic:cNvPicPr>
                      <a:picLocks noChangeAspect="1" noChangeArrowheads="1"/>
                    </pic:cNvPicPr>
                  </pic:nvPicPr>
                  <pic:blipFill>
                    <a:blip r:embed="rId7"/>
                    <a:stretch>
                      <a:fillRect/>
                    </a:stretch>
                  </pic:blipFill>
                  <pic:spPr bwMode="auto">
                    <a:xfrm>
                      <a:off x="0" y="0"/>
                      <a:ext cx="1428115" cy="976630"/>
                    </a:xfrm>
                    <a:prstGeom prst="rect">
                      <a:avLst/>
                    </a:prstGeom>
                  </pic:spPr>
                </pic:pic>
              </a:graphicData>
            </a:graphic>
          </wp:inline>
        </w:drawing>
      </w:r>
    </w:p>
    <w:p w:rsidR="00EF316A" w:rsidRDefault="00F6479F">
      <w:pPr>
        <w:jc w:val="center"/>
        <w:rPr>
          <w:rFonts w:ascii="Arial" w:eastAsia="Arial" w:hAnsi="Arial" w:cs="Arial"/>
          <w:b/>
          <w:bCs/>
          <w:color w:val="2F5496"/>
          <w:sz w:val="28"/>
          <w:szCs w:val="28"/>
        </w:rPr>
      </w:pPr>
      <w:r>
        <w:rPr>
          <w:rFonts w:ascii="Arial" w:eastAsia="Arial" w:hAnsi="Arial" w:cs="Arial"/>
          <w:b/>
          <w:bCs/>
          <w:color w:val="2F5496"/>
          <w:sz w:val="28"/>
          <w:szCs w:val="28"/>
        </w:rPr>
        <w:t>SINDACATO ITALIANO LAVORATORI FINANZIERI</w:t>
      </w:r>
    </w:p>
    <w:p w:rsidR="00EF316A" w:rsidRDefault="00F6479F">
      <w:pPr>
        <w:spacing w:after="80" w:line="240" w:lineRule="auto"/>
        <w:jc w:val="center"/>
        <w:rPr>
          <w:rFonts w:hint="eastAsia"/>
        </w:rPr>
      </w:pPr>
      <w:r>
        <w:rPr>
          <w:rFonts w:ascii="Arial" w:eastAsia="Arial" w:hAnsi="Arial" w:cs="Arial"/>
          <w:b/>
          <w:bCs/>
          <w:color w:val="2F5496"/>
          <w:sz w:val="28"/>
          <w:szCs w:val="28"/>
        </w:rPr>
        <w:t>SEGRETERIA NAZIONALE</w:t>
      </w:r>
      <w:r>
        <w:rPr>
          <w:b/>
          <w:color w:val="7F7F7F"/>
          <w:sz w:val="20"/>
        </w:rPr>
        <w:br/>
      </w:r>
      <w:bookmarkStart w:id="0" w:name="_GoBack"/>
      <w:bookmarkEnd w:id="0"/>
    </w:p>
    <w:p w:rsidR="00EF316A" w:rsidRDefault="00F6479F">
      <w:pPr>
        <w:spacing w:after="80" w:line="240" w:lineRule="auto"/>
        <w:jc w:val="center"/>
        <w:rPr>
          <w:rFonts w:hint="eastAsia"/>
        </w:rPr>
      </w:pPr>
      <w:r>
        <w:rPr>
          <w:rFonts w:ascii="Arial" w:hAnsi="Arial"/>
          <w:b/>
          <w:color w:val="1F4E79"/>
          <w:sz w:val="28"/>
          <w:szCs w:val="28"/>
        </w:rPr>
        <w:t>BANDO BORSE DI STUDIO SILF 2026/2027</w:t>
      </w:r>
    </w:p>
    <w:p w:rsidR="00EF316A" w:rsidRDefault="00F6479F">
      <w:pPr>
        <w:jc w:val="center"/>
        <w:rPr>
          <w:rFonts w:ascii="Arial" w:hAnsi="Arial"/>
          <w:i/>
          <w:sz w:val="28"/>
          <w:szCs w:val="28"/>
        </w:rPr>
      </w:pPr>
      <w:r>
        <w:rPr>
          <w:rFonts w:ascii="Arial" w:hAnsi="Arial"/>
          <w:i/>
          <w:sz w:val="28"/>
          <w:szCs w:val="28"/>
        </w:rPr>
        <w:t>(Risultati conseguiti nell’anno scolastico 2025/2026)</w:t>
      </w:r>
    </w:p>
    <w:p w:rsidR="00EF316A" w:rsidRDefault="00EF316A">
      <w:pPr>
        <w:jc w:val="center"/>
        <w:rPr>
          <w:rFonts w:ascii="Arial" w:hAnsi="Arial"/>
          <w:b/>
          <w:color w:val="C00000"/>
          <w:sz w:val="28"/>
          <w:szCs w:val="28"/>
        </w:rPr>
      </w:pPr>
    </w:p>
    <w:tbl>
      <w:tblPr>
        <w:tblW w:w="10371" w:type="dxa"/>
        <w:tblInd w:w="-5" w:type="dxa"/>
        <w:tblLayout w:type="fixed"/>
        <w:tblLook w:val="04A0" w:firstRow="1" w:lastRow="0" w:firstColumn="1" w:lastColumn="0" w:noHBand="0" w:noVBand="1"/>
      </w:tblPr>
      <w:tblGrid>
        <w:gridCol w:w="2493"/>
        <w:gridCol w:w="2493"/>
        <w:gridCol w:w="2492"/>
        <w:gridCol w:w="2892"/>
      </w:tblGrid>
      <w:tr w:rsidR="00EF316A">
        <w:trPr>
          <w:cantSplit/>
        </w:trPr>
        <w:tc>
          <w:tcPr>
            <w:tcW w:w="2493" w:type="dxa"/>
            <w:tcBorders>
              <w:top w:val="single" w:sz="4" w:space="0" w:color="000000"/>
              <w:left w:val="single" w:sz="4" w:space="0" w:color="000000"/>
              <w:bottom w:val="single" w:sz="4" w:space="0" w:color="000000"/>
              <w:right w:val="single" w:sz="4" w:space="0" w:color="000000"/>
            </w:tcBorders>
            <w:vAlign w:val="center"/>
          </w:tcPr>
          <w:p w:rsidR="00EF316A" w:rsidRDefault="00F6479F">
            <w:pPr>
              <w:widowControl w:val="0"/>
              <w:spacing w:before="20" w:after="20"/>
              <w:rPr>
                <w:rFonts w:ascii="Arial" w:hAnsi="Arial"/>
                <w:b/>
                <w:sz w:val="24"/>
                <w:szCs w:val="24"/>
              </w:rPr>
            </w:pPr>
            <w:r>
              <w:rPr>
                <w:rFonts w:ascii="Arial" w:hAnsi="Arial"/>
                <w:b/>
                <w:sz w:val="24"/>
                <w:szCs w:val="24"/>
              </w:rPr>
              <w:t>Categoria</w:t>
            </w:r>
          </w:p>
        </w:tc>
        <w:tc>
          <w:tcPr>
            <w:tcW w:w="2493" w:type="dxa"/>
            <w:tcBorders>
              <w:top w:val="single" w:sz="4" w:space="0" w:color="000000"/>
              <w:left w:val="single" w:sz="4" w:space="0" w:color="000000"/>
              <w:bottom w:val="single" w:sz="4" w:space="0" w:color="000000"/>
              <w:right w:val="single" w:sz="4" w:space="0" w:color="000000"/>
            </w:tcBorders>
            <w:vAlign w:val="center"/>
          </w:tcPr>
          <w:p w:rsidR="00EF316A" w:rsidRDefault="00F6479F">
            <w:pPr>
              <w:widowControl w:val="0"/>
              <w:spacing w:before="20" w:after="20"/>
              <w:rPr>
                <w:rFonts w:ascii="Arial" w:hAnsi="Arial"/>
                <w:b/>
                <w:sz w:val="24"/>
                <w:szCs w:val="24"/>
              </w:rPr>
            </w:pPr>
            <w:r>
              <w:rPr>
                <w:rFonts w:ascii="Arial" w:hAnsi="Arial"/>
                <w:b/>
                <w:sz w:val="24"/>
                <w:szCs w:val="24"/>
              </w:rPr>
              <w:t>Numero</w:t>
            </w:r>
          </w:p>
        </w:tc>
        <w:tc>
          <w:tcPr>
            <w:tcW w:w="2492" w:type="dxa"/>
            <w:tcBorders>
              <w:top w:val="single" w:sz="4" w:space="0" w:color="000000"/>
              <w:left w:val="single" w:sz="4" w:space="0" w:color="000000"/>
              <w:bottom w:val="single" w:sz="4" w:space="0" w:color="000000"/>
              <w:right w:val="single" w:sz="4" w:space="0" w:color="000000"/>
            </w:tcBorders>
            <w:vAlign w:val="center"/>
          </w:tcPr>
          <w:p w:rsidR="00EF316A" w:rsidRDefault="00F6479F">
            <w:pPr>
              <w:widowControl w:val="0"/>
              <w:spacing w:before="20" w:after="20"/>
              <w:rPr>
                <w:rFonts w:ascii="Arial" w:hAnsi="Arial"/>
                <w:b/>
                <w:sz w:val="24"/>
                <w:szCs w:val="24"/>
              </w:rPr>
            </w:pPr>
            <w:r>
              <w:rPr>
                <w:rFonts w:ascii="Arial" w:hAnsi="Arial"/>
                <w:b/>
                <w:sz w:val="24"/>
                <w:szCs w:val="24"/>
              </w:rPr>
              <w:t>Importo</w:t>
            </w:r>
          </w:p>
        </w:tc>
        <w:tc>
          <w:tcPr>
            <w:tcW w:w="2892" w:type="dxa"/>
            <w:tcBorders>
              <w:top w:val="single" w:sz="4" w:space="0" w:color="000000"/>
              <w:left w:val="single" w:sz="4" w:space="0" w:color="000000"/>
              <w:bottom w:val="single" w:sz="4" w:space="0" w:color="000000"/>
              <w:right w:val="single" w:sz="4" w:space="0" w:color="000000"/>
            </w:tcBorders>
            <w:vAlign w:val="center"/>
          </w:tcPr>
          <w:p w:rsidR="00EF316A" w:rsidRDefault="00F6479F">
            <w:pPr>
              <w:widowControl w:val="0"/>
              <w:spacing w:before="20" w:after="20"/>
              <w:rPr>
                <w:rFonts w:ascii="Arial" w:hAnsi="Arial"/>
                <w:b/>
                <w:sz w:val="24"/>
                <w:szCs w:val="24"/>
              </w:rPr>
            </w:pPr>
            <w:r>
              <w:rPr>
                <w:rFonts w:ascii="Arial" w:hAnsi="Arial"/>
                <w:b/>
                <w:sz w:val="24"/>
                <w:szCs w:val="24"/>
              </w:rPr>
              <w:t>Percorso</w:t>
            </w:r>
          </w:p>
        </w:tc>
      </w:tr>
      <w:tr w:rsidR="00EF316A">
        <w:trPr>
          <w:cantSplit/>
        </w:trPr>
        <w:tc>
          <w:tcPr>
            <w:tcW w:w="2493" w:type="dxa"/>
            <w:tcBorders>
              <w:top w:val="single" w:sz="4" w:space="0" w:color="000000"/>
              <w:left w:val="single" w:sz="4" w:space="0" w:color="000000"/>
              <w:bottom w:val="single" w:sz="4" w:space="0" w:color="000000"/>
              <w:right w:val="single" w:sz="4" w:space="0" w:color="000000"/>
            </w:tcBorders>
            <w:vAlign w:val="center"/>
          </w:tcPr>
          <w:p w:rsidR="00EF316A" w:rsidRDefault="00F6479F">
            <w:pPr>
              <w:widowControl w:val="0"/>
              <w:spacing w:before="20" w:after="20"/>
              <w:rPr>
                <w:rFonts w:ascii="Arial" w:hAnsi="Arial"/>
                <w:sz w:val="24"/>
                <w:szCs w:val="24"/>
              </w:rPr>
            </w:pPr>
            <w:r>
              <w:rPr>
                <w:rFonts w:ascii="Arial" w:hAnsi="Arial"/>
                <w:sz w:val="24"/>
                <w:szCs w:val="24"/>
              </w:rPr>
              <w:t>Categoria A</w:t>
            </w:r>
          </w:p>
        </w:tc>
        <w:tc>
          <w:tcPr>
            <w:tcW w:w="2493" w:type="dxa"/>
            <w:tcBorders>
              <w:top w:val="single" w:sz="4" w:space="0" w:color="000000"/>
              <w:left w:val="single" w:sz="4" w:space="0" w:color="000000"/>
              <w:bottom w:val="single" w:sz="4" w:space="0" w:color="000000"/>
              <w:right w:val="single" w:sz="4" w:space="0" w:color="000000"/>
            </w:tcBorders>
            <w:vAlign w:val="center"/>
          </w:tcPr>
          <w:p w:rsidR="00EF316A" w:rsidRDefault="00F6479F">
            <w:pPr>
              <w:widowControl w:val="0"/>
              <w:spacing w:before="20" w:after="20"/>
              <w:rPr>
                <w:rFonts w:ascii="Arial" w:hAnsi="Arial"/>
                <w:sz w:val="24"/>
                <w:szCs w:val="24"/>
              </w:rPr>
            </w:pPr>
            <w:r>
              <w:rPr>
                <w:rFonts w:ascii="Arial" w:hAnsi="Arial"/>
                <w:sz w:val="24"/>
                <w:szCs w:val="24"/>
              </w:rPr>
              <w:t>2 borse</w:t>
            </w:r>
          </w:p>
        </w:tc>
        <w:tc>
          <w:tcPr>
            <w:tcW w:w="2492" w:type="dxa"/>
            <w:tcBorders>
              <w:top w:val="single" w:sz="4" w:space="0" w:color="000000"/>
              <w:left w:val="single" w:sz="4" w:space="0" w:color="000000"/>
              <w:bottom w:val="single" w:sz="4" w:space="0" w:color="000000"/>
              <w:right w:val="single" w:sz="4" w:space="0" w:color="000000"/>
            </w:tcBorders>
            <w:vAlign w:val="center"/>
          </w:tcPr>
          <w:p w:rsidR="00EF316A" w:rsidRDefault="00F6479F">
            <w:pPr>
              <w:widowControl w:val="0"/>
              <w:spacing w:before="20" w:after="20"/>
              <w:rPr>
                <w:rFonts w:ascii="Arial" w:hAnsi="Arial"/>
                <w:sz w:val="24"/>
                <w:szCs w:val="24"/>
              </w:rPr>
            </w:pPr>
            <w:r>
              <w:rPr>
                <w:rFonts w:ascii="Arial" w:hAnsi="Arial"/>
                <w:sz w:val="24"/>
                <w:szCs w:val="24"/>
              </w:rPr>
              <w:t xml:space="preserve">€ </w:t>
            </w:r>
            <w:r>
              <w:rPr>
                <w:rFonts w:ascii="Arial" w:hAnsi="Arial"/>
                <w:b/>
                <w:bCs/>
                <w:sz w:val="24"/>
                <w:szCs w:val="24"/>
              </w:rPr>
              <w:t>250</w:t>
            </w:r>
            <w:r>
              <w:rPr>
                <w:rFonts w:ascii="Arial" w:hAnsi="Arial"/>
                <w:sz w:val="24"/>
                <w:szCs w:val="24"/>
              </w:rPr>
              <w:t xml:space="preserve"> ciascuna</w:t>
            </w:r>
          </w:p>
        </w:tc>
        <w:tc>
          <w:tcPr>
            <w:tcW w:w="2892" w:type="dxa"/>
            <w:tcBorders>
              <w:top w:val="single" w:sz="4" w:space="0" w:color="000000"/>
              <w:left w:val="single" w:sz="4" w:space="0" w:color="000000"/>
              <w:bottom w:val="single" w:sz="4" w:space="0" w:color="000000"/>
              <w:right w:val="single" w:sz="4" w:space="0" w:color="000000"/>
            </w:tcBorders>
            <w:vAlign w:val="center"/>
          </w:tcPr>
          <w:p w:rsidR="00EF316A" w:rsidRDefault="00F6479F">
            <w:pPr>
              <w:widowControl w:val="0"/>
              <w:spacing w:before="20" w:after="20"/>
              <w:rPr>
                <w:rFonts w:ascii="Arial" w:hAnsi="Arial"/>
                <w:sz w:val="24"/>
                <w:szCs w:val="24"/>
              </w:rPr>
            </w:pPr>
            <w:r>
              <w:rPr>
                <w:rFonts w:ascii="Arial" w:hAnsi="Arial"/>
                <w:sz w:val="24"/>
                <w:szCs w:val="24"/>
              </w:rPr>
              <w:t>Accesso alla secondaria di I grado</w:t>
            </w:r>
          </w:p>
        </w:tc>
      </w:tr>
      <w:tr w:rsidR="00EF316A">
        <w:trPr>
          <w:cantSplit/>
        </w:trPr>
        <w:tc>
          <w:tcPr>
            <w:tcW w:w="2493" w:type="dxa"/>
            <w:tcBorders>
              <w:top w:val="single" w:sz="4" w:space="0" w:color="000000"/>
              <w:left w:val="single" w:sz="4" w:space="0" w:color="000000"/>
              <w:bottom w:val="single" w:sz="4" w:space="0" w:color="000000"/>
              <w:right w:val="single" w:sz="4" w:space="0" w:color="000000"/>
            </w:tcBorders>
            <w:vAlign w:val="center"/>
          </w:tcPr>
          <w:p w:rsidR="00EF316A" w:rsidRDefault="00F6479F">
            <w:pPr>
              <w:widowControl w:val="0"/>
              <w:spacing w:before="20" w:after="20"/>
              <w:rPr>
                <w:rFonts w:ascii="Arial" w:hAnsi="Arial"/>
                <w:sz w:val="24"/>
                <w:szCs w:val="24"/>
              </w:rPr>
            </w:pPr>
            <w:r>
              <w:rPr>
                <w:rFonts w:ascii="Arial" w:hAnsi="Arial"/>
                <w:sz w:val="24"/>
                <w:szCs w:val="24"/>
              </w:rPr>
              <w:t>Categoria B</w:t>
            </w:r>
          </w:p>
        </w:tc>
        <w:tc>
          <w:tcPr>
            <w:tcW w:w="2493" w:type="dxa"/>
            <w:tcBorders>
              <w:top w:val="single" w:sz="4" w:space="0" w:color="000000"/>
              <w:left w:val="single" w:sz="4" w:space="0" w:color="000000"/>
              <w:bottom w:val="single" w:sz="4" w:space="0" w:color="000000"/>
              <w:right w:val="single" w:sz="4" w:space="0" w:color="000000"/>
            </w:tcBorders>
            <w:vAlign w:val="center"/>
          </w:tcPr>
          <w:p w:rsidR="00EF316A" w:rsidRDefault="00F6479F">
            <w:pPr>
              <w:widowControl w:val="0"/>
              <w:spacing w:before="20" w:after="20"/>
              <w:rPr>
                <w:rFonts w:ascii="Arial" w:hAnsi="Arial"/>
                <w:sz w:val="24"/>
                <w:szCs w:val="24"/>
              </w:rPr>
            </w:pPr>
            <w:r>
              <w:rPr>
                <w:rFonts w:ascii="Arial" w:hAnsi="Arial"/>
                <w:sz w:val="24"/>
                <w:szCs w:val="24"/>
              </w:rPr>
              <w:t>2 borse</w:t>
            </w:r>
          </w:p>
        </w:tc>
        <w:tc>
          <w:tcPr>
            <w:tcW w:w="2492" w:type="dxa"/>
            <w:tcBorders>
              <w:top w:val="single" w:sz="4" w:space="0" w:color="000000"/>
              <w:left w:val="single" w:sz="4" w:space="0" w:color="000000"/>
              <w:bottom w:val="single" w:sz="4" w:space="0" w:color="000000"/>
              <w:right w:val="single" w:sz="4" w:space="0" w:color="000000"/>
            </w:tcBorders>
            <w:vAlign w:val="center"/>
          </w:tcPr>
          <w:p w:rsidR="00EF316A" w:rsidRDefault="00F6479F">
            <w:pPr>
              <w:widowControl w:val="0"/>
              <w:spacing w:before="20" w:after="20"/>
              <w:rPr>
                <w:rFonts w:ascii="Arial" w:hAnsi="Arial"/>
                <w:sz w:val="24"/>
                <w:szCs w:val="24"/>
              </w:rPr>
            </w:pPr>
            <w:r>
              <w:rPr>
                <w:rFonts w:ascii="Arial" w:hAnsi="Arial"/>
                <w:sz w:val="24"/>
                <w:szCs w:val="24"/>
              </w:rPr>
              <w:t xml:space="preserve">€ </w:t>
            </w:r>
            <w:r>
              <w:rPr>
                <w:rFonts w:ascii="Arial" w:hAnsi="Arial"/>
                <w:b/>
                <w:bCs/>
                <w:sz w:val="24"/>
                <w:szCs w:val="24"/>
              </w:rPr>
              <w:t>350</w:t>
            </w:r>
            <w:r>
              <w:rPr>
                <w:rFonts w:ascii="Arial" w:hAnsi="Arial"/>
                <w:sz w:val="24"/>
                <w:szCs w:val="24"/>
              </w:rPr>
              <w:t xml:space="preserve"> ciascuna</w:t>
            </w:r>
          </w:p>
        </w:tc>
        <w:tc>
          <w:tcPr>
            <w:tcW w:w="2892" w:type="dxa"/>
            <w:tcBorders>
              <w:top w:val="single" w:sz="4" w:space="0" w:color="000000"/>
              <w:left w:val="single" w:sz="4" w:space="0" w:color="000000"/>
              <w:bottom w:val="single" w:sz="4" w:space="0" w:color="000000"/>
              <w:right w:val="single" w:sz="4" w:space="0" w:color="000000"/>
            </w:tcBorders>
            <w:vAlign w:val="center"/>
          </w:tcPr>
          <w:p w:rsidR="00EF316A" w:rsidRDefault="00F6479F">
            <w:pPr>
              <w:widowControl w:val="0"/>
              <w:spacing w:before="20" w:after="20"/>
              <w:rPr>
                <w:rFonts w:ascii="Arial" w:hAnsi="Arial"/>
                <w:sz w:val="24"/>
                <w:szCs w:val="24"/>
              </w:rPr>
            </w:pPr>
            <w:r>
              <w:rPr>
                <w:rFonts w:ascii="Arial" w:hAnsi="Arial"/>
                <w:sz w:val="24"/>
                <w:szCs w:val="24"/>
              </w:rPr>
              <w:t>Accesso alla secondaria di II grado</w:t>
            </w:r>
          </w:p>
        </w:tc>
      </w:tr>
      <w:tr w:rsidR="00EF316A">
        <w:trPr>
          <w:cantSplit/>
        </w:trPr>
        <w:tc>
          <w:tcPr>
            <w:tcW w:w="2493" w:type="dxa"/>
            <w:tcBorders>
              <w:top w:val="single" w:sz="4" w:space="0" w:color="000000"/>
              <w:left w:val="single" w:sz="4" w:space="0" w:color="000000"/>
              <w:bottom w:val="single" w:sz="4" w:space="0" w:color="000000"/>
              <w:right w:val="single" w:sz="4" w:space="0" w:color="000000"/>
            </w:tcBorders>
            <w:vAlign w:val="center"/>
          </w:tcPr>
          <w:p w:rsidR="00EF316A" w:rsidRDefault="00F6479F">
            <w:pPr>
              <w:widowControl w:val="0"/>
              <w:spacing w:before="20" w:after="20"/>
              <w:rPr>
                <w:rFonts w:ascii="Arial" w:hAnsi="Arial"/>
                <w:sz w:val="24"/>
                <w:szCs w:val="24"/>
              </w:rPr>
            </w:pPr>
            <w:r>
              <w:rPr>
                <w:rFonts w:ascii="Arial" w:hAnsi="Arial"/>
                <w:sz w:val="24"/>
                <w:szCs w:val="24"/>
              </w:rPr>
              <w:t>Categoria C</w:t>
            </w:r>
          </w:p>
        </w:tc>
        <w:tc>
          <w:tcPr>
            <w:tcW w:w="2493" w:type="dxa"/>
            <w:tcBorders>
              <w:top w:val="single" w:sz="4" w:space="0" w:color="000000"/>
              <w:left w:val="single" w:sz="4" w:space="0" w:color="000000"/>
              <w:bottom w:val="single" w:sz="4" w:space="0" w:color="000000"/>
              <w:right w:val="single" w:sz="4" w:space="0" w:color="000000"/>
            </w:tcBorders>
            <w:vAlign w:val="center"/>
          </w:tcPr>
          <w:p w:rsidR="00EF316A" w:rsidRDefault="00F6479F">
            <w:pPr>
              <w:widowControl w:val="0"/>
              <w:spacing w:before="20" w:after="20"/>
              <w:rPr>
                <w:rFonts w:ascii="Arial" w:hAnsi="Arial"/>
                <w:sz w:val="24"/>
                <w:szCs w:val="24"/>
              </w:rPr>
            </w:pPr>
            <w:r>
              <w:rPr>
                <w:rFonts w:ascii="Arial" w:hAnsi="Arial"/>
                <w:sz w:val="24"/>
                <w:szCs w:val="24"/>
              </w:rPr>
              <w:t>1 borsa</w:t>
            </w:r>
          </w:p>
        </w:tc>
        <w:tc>
          <w:tcPr>
            <w:tcW w:w="2492" w:type="dxa"/>
            <w:tcBorders>
              <w:top w:val="single" w:sz="4" w:space="0" w:color="000000"/>
              <w:left w:val="single" w:sz="4" w:space="0" w:color="000000"/>
              <w:bottom w:val="single" w:sz="4" w:space="0" w:color="000000"/>
              <w:right w:val="single" w:sz="4" w:space="0" w:color="000000"/>
            </w:tcBorders>
            <w:vAlign w:val="center"/>
          </w:tcPr>
          <w:p w:rsidR="00EF316A" w:rsidRDefault="00F6479F">
            <w:pPr>
              <w:widowControl w:val="0"/>
              <w:spacing w:before="20" w:after="20"/>
              <w:rPr>
                <w:rFonts w:ascii="Arial" w:hAnsi="Arial"/>
                <w:sz w:val="24"/>
                <w:szCs w:val="24"/>
              </w:rPr>
            </w:pPr>
            <w:r>
              <w:rPr>
                <w:rFonts w:ascii="Arial" w:hAnsi="Arial"/>
                <w:sz w:val="24"/>
                <w:szCs w:val="24"/>
              </w:rPr>
              <w:t xml:space="preserve">€ </w:t>
            </w:r>
            <w:r>
              <w:rPr>
                <w:rFonts w:ascii="Arial" w:hAnsi="Arial"/>
                <w:b/>
                <w:bCs/>
                <w:sz w:val="24"/>
                <w:szCs w:val="24"/>
              </w:rPr>
              <w:t>800</w:t>
            </w:r>
          </w:p>
        </w:tc>
        <w:tc>
          <w:tcPr>
            <w:tcW w:w="2892" w:type="dxa"/>
            <w:tcBorders>
              <w:top w:val="single" w:sz="4" w:space="0" w:color="000000"/>
              <w:left w:val="single" w:sz="4" w:space="0" w:color="000000"/>
              <w:bottom w:val="single" w:sz="4" w:space="0" w:color="000000"/>
              <w:right w:val="single" w:sz="4" w:space="0" w:color="000000"/>
            </w:tcBorders>
            <w:vAlign w:val="center"/>
          </w:tcPr>
          <w:p w:rsidR="00EF316A" w:rsidRDefault="00F6479F">
            <w:pPr>
              <w:widowControl w:val="0"/>
              <w:spacing w:before="20" w:after="20"/>
              <w:rPr>
                <w:rFonts w:ascii="Arial" w:hAnsi="Arial"/>
                <w:sz w:val="24"/>
                <w:szCs w:val="24"/>
              </w:rPr>
            </w:pPr>
            <w:r>
              <w:rPr>
                <w:rFonts w:ascii="Arial" w:hAnsi="Arial"/>
                <w:sz w:val="24"/>
                <w:szCs w:val="24"/>
              </w:rPr>
              <w:t>Accesso a università/conservatorio/accademia</w:t>
            </w:r>
          </w:p>
        </w:tc>
      </w:tr>
    </w:tbl>
    <w:p w:rsidR="00EF316A" w:rsidRDefault="00F6479F">
      <w:pPr>
        <w:jc w:val="center"/>
        <w:rPr>
          <w:rFonts w:ascii="Arial" w:hAnsi="Arial"/>
          <w:b/>
          <w:sz w:val="24"/>
          <w:szCs w:val="24"/>
        </w:rPr>
      </w:pPr>
      <w:r>
        <w:rPr>
          <w:rFonts w:ascii="Arial" w:hAnsi="Arial"/>
          <w:b/>
          <w:sz w:val="24"/>
          <w:szCs w:val="24"/>
        </w:rPr>
        <w:t xml:space="preserve">Totale stanziato: € 2.000  •  Una sola borsa </w:t>
      </w:r>
      <w:r>
        <w:rPr>
          <w:rFonts w:ascii="Arial" w:hAnsi="Arial"/>
          <w:b/>
          <w:sz w:val="24"/>
          <w:szCs w:val="24"/>
        </w:rPr>
        <w:t>assegnabile per nucleo familiare</w:t>
      </w:r>
    </w:p>
    <w:p w:rsidR="00EF316A" w:rsidRDefault="00F6479F">
      <w:pPr>
        <w:pStyle w:val="Titolo1"/>
        <w:jc w:val="both"/>
        <w:rPr>
          <w:rFonts w:ascii="Arial" w:hAnsi="Arial"/>
          <w:color w:val="000000"/>
          <w:sz w:val="24"/>
          <w:szCs w:val="24"/>
        </w:rPr>
      </w:pPr>
      <w:r>
        <w:rPr>
          <w:rFonts w:ascii="Arial" w:hAnsi="Arial"/>
          <w:color w:val="000000"/>
          <w:sz w:val="24"/>
          <w:szCs w:val="24"/>
        </w:rPr>
        <w:t>Art. 1 – Finalità e dotazione</w:t>
      </w:r>
    </w:p>
    <w:p w:rsidR="00EF316A" w:rsidRDefault="00F6479F">
      <w:pPr>
        <w:jc w:val="both"/>
        <w:rPr>
          <w:rFonts w:ascii="Arial" w:hAnsi="Arial"/>
          <w:color w:val="000000"/>
          <w:sz w:val="24"/>
          <w:szCs w:val="24"/>
        </w:rPr>
      </w:pPr>
      <w:r>
        <w:rPr>
          <w:rFonts w:ascii="Arial" w:hAnsi="Arial"/>
          <w:color w:val="000000"/>
          <w:sz w:val="24"/>
          <w:szCs w:val="24"/>
        </w:rPr>
        <w:t xml:space="preserve">Il SILF indice un concorso per l’assegnazione di </w:t>
      </w:r>
      <w:r>
        <w:rPr>
          <w:rFonts w:ascii="Arial" w:hAnsi="Arial"/>
          <w:b/>
          <w:bCs/>
          <w:color w:val="000000"/>
          <w:sz w:val="24"/>
          <w:szCs w:val="24"/>
        </w:rPr>
        <w:t>cinque</w:t>
      </w:r>
      <w:r>
        <w:rPr>
          <w:rFonts w:ascii="Arial" w:hAnsi="Arial"/>
          <w:color w:val="000000"/>
          <w:sz w:val="24"/>
          <w:szCs w:val="24"/>
        </w:rPr>
        <w:t xml:space="preserve"> borse di studio, per un importo complessivo di euro </w:t>
      </w:r>
      <w:r>
        <w:rPr>
          <w:rFonts w:ascii="Arial" w:hAnsi="Arial"/>
          <w:b/>
          <w:bCs/>
          <w:color w:val="000000"/>
          <w:sz w:val="24"/>
          <w:szCs w:val="24"/>
        </w:rPr>
        <w:t>2.000</w:t>
      </w:r>
      <w:r>
        <w:rPr>
          <w:rFonts w:ascii="Arial" w:hAnsi="Arial"/>
          <w:color w:val="000000"/>
          <w:sz w:val="24"/>
          <w:szCs w:val="24"/>
        </w:rPr>
        <w:t>, riservate ai figli degli iscritti. Le borse sono ripartite come indicato nella</w:t>
      </w:r>
      <w:r>
        <w:rPr>
          <w:rFonts w:ascii="Arial" w:hAnsi="Arial"/>
          <w:color w:val="000000"/>
          <w:sz w:val="24"/>
          <w:szCs w:val="24"/>
        </w:rPr>
        <w:t xml:space="preserve"> tabella iniziale. L’iscrizione al nuovo percorso di studi nell’anno </w:t>
      </w:r>
      <w:r>
        <w:rPr>
          <w:rFonts w:ascii="Arial" w:hAnsi="Arial"/>
          <w:b/>
          <w:bCs/>
          <w:color w:val="000000"/>
          <w:sz w:val="24"/>
          <w:szCs w:val="24"/>
        </w:rPr>
        <w:t>2026/2027</w:t>
      </w:r>
      <w:r>
        <w:rPr>
          <w:rFonts w:ascii="Arial" w:hAnsi="Arial"/>
          <w:color w:val="000000"/>
          <w:sz w:val="24"/>
          <w:szCs w:val="24"/>
        </w:rPr>
        <w:t xml:space="preserve"> deve essere documentata prima della liquidazione del premio. L’eventuale ammissione degli istituti paritari legalmente riconosciuti è subordinata a espressa deliberazione della </w:t>
      </w:r>
      <w:r>
        <w:rPr>
          <w:rFonts w:ascii="Arial" w:hAnsi="Arial"/>
          <w:color w:val="000000"/>
          <w:sz w:val="24"/>
          <w:szCs w:val="24"/>
        </w:rPr>
        <w:t>Segreteria nazionale.</w:t>
      </w:r>
    </w:p>
    <w:p w:rsidR="00EF316A" w:rsidRDefault="00F6479F">
      <w:pPr>
        <w:pStyle w:val="Titolo1"/>
        <w:jc w:val="both"/>
        <w:rPr>
          <w:rFonts w:ascii="Arial" w:hAnsi="Arial"/>
          <w:color w:val="000000"/>
          <w:sz w:val="24"/>
          <w:szCs w:val="24"/>
        </w:rPr>
      </w:pPr>
      <w:r>
        <w:rPr>
          <w:rFonts w:ascii="Arial" w:hAnsi="Arial"/>
          <w:color w:val="000000"/>
          <w:sz w:val="24"/>
          <w:szCs w:val="24"/>
        </w:rPr>
        <w:t>Art. 2 – Beneficiari e requisito associativo</w:t>
      </w:r>
    </w:p>
    <w:p w:rsidR="00EF316A" w:rsidRDefault="00F6479F">
      <w:pPr>
        <w:jc w:val="both"/>
        <w:rPr>
          <w:rFonts w:ascii="Arial" w:hAnsi="Arial"/>
          <w:color w:val="000000"/>
          <w:sz w:val="24"/>
          <w:szCs w:val="24"/>
        </w:rPr>
      </w:pPr>
      <w:r>
        <w:rPr>
          <w:rFonts w:ascii="Arial" w:hAnsi="Arial"/>
          <w:color w:val="000000"/>
          <w:sz w:val="24"/>
          <w:szCs w:val="24"/>
        </w:rPr>
        <w:t xml:space="preserve">Possono partecipare i figli di iscritti al SILF con delega sindacale efficace alla data del </w:t>
      </w:r>
      <w:r>
        <w:rPr>
          <w:rFonts w:ascii="Arial" w:hAnsi="Arial"/>
          <w:color w:val="000000"/>
          <w:sz w:val="24"/>
          <w:szCs w:val="24"/>
        </w:rPr>
        <w:t>(</w:t>
      </w:r>
      <w:r>
        <w:rPr>
          <w:rFonts w:ascii="Arial" w:hAnsi="Arial"/>
          <w:b/>
          <w:bCs/>
          <w:color w:val="000000"/>
          <w:sz w:val="24"/>
          <w:szCs w:val="24"/>
          <w:u w:val="single"/>
        </w:rPr>
        <w:t>30.10.2026</w:t>
      </w:r>
      <w:r>
        <w:rPr>
          <w:rFonts w:ascii="Arial" w:hAnsi="Arial"/>
          <w:color w:val="000000"/>
          <w:sz w:val="24"/>
          <w:szCs w:val="24"/>
        </w:rPr>
        <w:t xml:space="preserve">) </w:t>
      </w:r>
      <w:r>
        <w:rPr>
          <w:rFonts w:ascii="Arial" w:hAnsi="Arial"/>
          <w:color w:val="000000"/>
          <w:sz w:val="24"/>
          <w:szCs w:val="24"/>
        </w:rPr>
        <w:t xml:space="preserve">e alla scadenza del bando, fatte salve situazioni non imputabili all’iscritto da </w:t>
      </w:r>
      <w:r>
        <w:rPr>
          <w:rFonts w:ascii="Arial" w:hAnsi="Arial"/>
          <w:color w:val="000000"/>
          <w:sz w:val="24"/>
          <w:szCs w:val="24"/>
        </w:rPr>
        <w:t>valutare motivatamente. Sono ammessi anche i figli orfani di appartenenti o ex appartenenti alla Guardia di Finanza iscritti al SILF con delega efficace alla data del decesso. È assegnabile una sola borsa di studio per nucleo familiare, anche qualora più c</w:t>
      </w:r>
      <w:r>
        <w:rPr>
          <w:rFonts w:ascii="Arial" w:hAnsi="Arial"/>
          <w:color w:val="000000"/>
          <w:sz w:val="24"/>
          <w:szCs w:val="24"/>
        </w:rPr>
        <w:t>andidati appartenenti al medesimo nucleo risultino utilmente collocati nelle graduatorie.</w:t>
      </w:r>
    </w:p>
    <w:p w:rsidR="00EF316A" w:rsidRDefault="00F6479F">
      <w:pPr>
        <w:pStyle w:val="Titolo1"/>
        <w:rPr>
          <w:rFonts w:ascii="Arial" w:hAnsi="Arial"/>
          <w:color w:val="000000"/>
          <w:sz w:val="24"/>
          <w:szCs w:val="24"/>
        </w:rPr>
      </w:pPr>
      <w:r>
        <w:rPr>
          <w:rFonts w:ascii="Arial" w:hAnsi="Arial"/>
          <w:color w:val="000000"/>
          <w:sz w:val="24"/>
          <w:szCs w:val="24"/>
        </w:rPr>
        <w:t>Art. 3 – Requisiti scolastici</w:t>
      </w:r>
    </w:p>
    <w:p w:rsidR="00EF316A" w:rsidRDefault="00F6479F">
      <w:pPr>
        <w:jc w:val="both"/>
        <w:rPr>
          <w:rFonts w:ascii="Arial" w:hAnsi="Arial"/>
          <w:color w:val="000000"/>
          <w:sz w:val="24"/>
          <w:szCs w:val="24"/>
        </w:rPr>
      </w:pPr>
      <w:r>
        <w:rPr>
          <w:rFonts w:ascii="Arial" w:hAnsi="Arial"/>
          <w:b/>
          <w:bCs/>
          <w:color w:val="000000"/>
          <w:sz w:val="24"/>
          <w:szCs w:val="24"/>
        </w:rPr>
        <w:t>Categoria A</w:t>
      </w:r>
      <w:r>
        <w:rPr>
          <w:rFonts w:ascii="Arial" w:hAnsi="Arial"/>
          <w:color w:val="000000"/>
          <w:sz w:val="24"/>
          <w:szCs w:val="24"/>
        </w:rPr>
        <w:t>: avere concluso la scuola primaria nell’anno scolastico 2025/2026 ed essere iscritti al primo anno della scuola secondaria d</w:t>
      </w:r>
      <w:r>
        <w:rPr>
          <w:rFonts w:ascii="Arial" w:hAnsi="Arial"/>
          <w:color w:val="000000"/>
          <w:sz w:val="24"/>
          <w:szCs w:val="24"/>
        </w:rPr>
        <w:t>i primo grado nell’anno 2026/2027.</w:t>
      </w:r>
    </w:p>
    <w:p w:rsidR="00EF316A" w:rsidRDefault="00F6479F">
      <w:pPr>
        <w:jc w:val="both"/>
        <w:rPr>
          <w:rFonts w:ascii="Arial" w:hAnsi="Arial"/>
          <w:color w:val="000000"/>
          <w:sz w:val="24"/>
          <w:szCs w:val="24"/>
        </w:rPr>
      </w:pPr>
      <w:r>
        <w:rPr>
          <w:rFonts w:ascii="Arial" w:hAnsi="Arial"/>
          <w:b/>
          <w:bCs/>
          <w:color w:val="000000"/>
          <w:sz w:val="24"/>
          <w:szCs w:val="24"/>
        </w:rPr>
        <w:t>Categoria B</w:t>
      </w:r>
      <w:r>
        <w:rPr>
          <w:rFonts w:ascii="Arial" w:hAnsi="Arial"/>
          <w:color w:val="000000"/>
          <w:sz w:val="24"/>
          <w:szCs w:val="24"/>
        </w:rPr>
        <w:t>: avere superato l’esame conclusivo del primo ciclo nell’anno scolastico 2025/2026 ed essere iscritti al primo anno della scuola secondaria di secondo grado nell’anno 2026/2027.</w:t>
      </w:r>
    </w:p>
    <w:p w:rsidR="00EF316A" w:rsidRDefault="00F6479F">
      <w:pPr>
        <w:jc w:val="both"/>
        <w:rPr>
          <w:rFonts w:ascii="Arial" w:hAnsi="Arial"/>
          <w:color w:val="000000"/>
          <w:sz w:val="24"/>
          <w:szCs w:val="24"/>
        </w:rPr>
      </w:pPr>
      <w:r>
        <w:rPr>
          <w:rFonts w:ascii="Arial" w:hAnsi="Arial"/>
          <w:b/>
          <w:bCs/>
          <w:color w:val="000000"/>
          <w:sz w:val="24"/>
          <w:szCs w:val="24"/>
        </w:rPr>
        <w:t>Categoria C</w:t>
      </w:r>
      <w:r>
        <w:rPr>
          <w:rFonts w:ascii="Arial" w:hAnsi="Arial"/>
          <w:color w:val="000000"/>
          <w:sz w:val="24"/>
          <w:szCs w:val="24"/>
        </w:rPr>
        <w:t>: avere conseguito il</w:t>
      </w:r>
      <w:r>
        <w:rPr>
          <w:rFonts w:ascii="Arial" w:hAnsi="Arial"/>
          <w:color w:val="000000"/>
          <w:sz w:val="24"/>
          <w:szCs w:val="24"/>
        </w:rPr>
        <w:t xml:space="preserve"> diploma conclusivo della scuola secondaria di secondo grado nell’anno scolastico 2025/2026 ed effettuato la prima immatricolazione, nell’anno 2026/2027, a un corso universitario di primo livello o a ciclo unico, a un conservatorio o a un’accademia di bell</w:t>
      </w:r>
      <w:r>
        <w:rPr>
          <w:rFonts w:ascii="Arial" w:hAnsi="Arial"/>
          <w:color w:val="000000"/>
          <w:sz w:val="24"/>
          <w:szCs w:val="24"/>
        </w:rPr>
        <w:t>e arti. Non sono ammessi master, dottorati, scuole di specializzazione o corsi post-lauream. Non è previsto un limite anagrafico ulteriore, salvo diversa deliberazione espressa prima della pubblicazione del bando.</w:t>
      </w:r>
    </w:p>
    <w:p w:rsidR="00EF316A" w:rsidRDefault="00F6479F">
      <w:pPr>
        <w:jc w:val="both"/>
        <w:rPr>
          <w:rFonts w:hint="eastAsia"/>
        </w:rPr>
      </w:pPr>
      <w:r>
        <w:rPr>
          <w:rFonts w:ascii="Arial" w:hAnsi="Arial"/>
          <w:b/>
          <w:bCs/>
          <w:color w:val="000000"/>
          <w:sz w:val="24"/>
          <w:szCs w:val="24"/>
        </w:rPr>
        <w:t xml:space="preserve">Art. 4 – Attestazione ISEE </w:t>
      </w:r>
    </w:p>
    <w:p w:rsidR="00EF316A" w:rsidRDefault="00F6479F">
      <w:pPr>
        <w:jc w:val="both"/>
        <w:rPr>
          <w:rFonts w:ascii="Arial" w:hAnsi="Arial"/>
          <w:color w:val="000000"/>
          <w:sz w:val="24"/>
          <w:szCs w:val="24"/>
        </w:rPr>
      </w:pPr>
      <w:r>
        <w:rPr>
          <w:rFonts w:ascii="Arial" w:hAnsi="Arial"/>
          <w:color w:val="000000"/>
          <w:sz w:val="24"/>
          <w:szCs w:val="24"/>
        </w:rPr>
        <w:t>L’attestazione</w:t>
      </w:r>
      <w:r>
        <w:rPr>
          <w:rFonts w:ascii="Arial" w:hAnsi="Arial"/>
          <w:color w:val="000000"/>
          <w:sz w:val="24"/>
          <w:szCs w:val="24"/>
        </w:rPr>
        <w:t xml:space="preserve"> ISEE, riferita al nucleo familiare dell’interessato a partecipare al concorso, è oggetto di valutazione al fine del posizionamento dell’interessato in graduatoria, secondo i criteri di cui all’art.8 del presente bando. Per i casi previsti, è possibile pre</w:t>
      </w:r>
      <w:r>
        <w:rPr>
          <w:rFonts w:ascii="Arial" w:hAnsi="Arial"/>
          <w:color w:val="000000"/>
          <w:sz w:val="24"/>
          <w:szCs w:val="24"/>
        </w:rPr>
        <w:t>sentare l’ISEE minorenni (</w:t>
      </w:r>
      <w:r>
        <w:rPr>
          <w:rFonts w:ascii="Arial" w:hAnsi="Arial"/>
          <w:i/>
          <w:iCs/>
          <w:color w:val="000000"/>
          <w:sz w:val="24"/>
          <w:szCs w:val="24"/>
        </w:rPr>
        <w:t>variante del modello ISEE, destinata ai genitori non coniugati e non conviventi, per valutare la situazione economica del minore che è nel nucleo familiare di solo uno dei genitori, ovvero quello con il quale convive</w:t>
      </w:r>
      <w:r>
        <w:rPr>
          <w:rFonts w:ascii="Arial" w:hAnsi="Arial"/>
          <w:color w:val="000000"/>
          <w:sz w:val="24"/>
          <w:szCs w:val="24"/>
        </w:rPr>
        <w:t>). L’utente de</w:t>
      </w:r>
      <w:r>
        <w:rPr>
          <w:rFonts w:ascii="Arial" w:hAnsi="Arial"/>
          <w:color w:val="000000"/>
          <w:sz w:val="24"/>
          <w:szCs w:val="24"/>
        </w:rPr>
        <w:t>ve richiedere la certificazione ISEE 2026. Nel caso sia già stata emessa un’attestazione ISEE 2026, riferita al nucleo familiare dell’interessato, non sarà necessario richiedere una nuova attestazione. Qualora, in sede di istruttoria della domanda, il SILF</w:t>
      </w:r>
      <w:r>
        <w:rPr>
          <w:rFonts w:ascii="Arial" w:hAnsi="Arial"/>
          <w:color w:val="000000"/>
          <w:sz w:val="24"/>
          <w:szCs w:val="24"/>
        </w:rPr>
        <w:t xml:space="preserve"> non rilevasse la presentazione di un’attestazione ISEE valida alla data di inoltro della domanda, la domanda sarà collocata in graduatoria con le modalità indicate nell’art. 8. Non saranno accettati i valori ISEE elaborati sulla base di una certificazione</w:t>
      </w:r>
      <w:r>
        <w:rPr>
          <w:rFonts w:ascii="Arial" w:hAnsi="Arial"/>
          <w:color w:val="000000"/>
          <w:sz w:val="24"/>
          <w:szCs w:val="24"/>
        </w:rPr>
        <w:t xml:space="preserve"> presentata con data di protocollazione successiva a quella di inoltro della domanda di partecipazione al concorso, anche se valida e anche se presentata entro la data di scadenza del bando. Nel caso di mancata presentazione di attestazione ISEE valida all</w:t>
      </w:r>
      <w:r>
        <w:rPr>
          <w:rFonts w:ascii="Arial" w:hAnsi="Arial"/>
          <w:color w:val="000000"/>
          <w:sz w:val="24"/>
          <w:szCs w:val="24"/>
        </w:rPr>
        <w:t xml:space="preserve">a data di inoltro della domanda, la graduatoria verrà redatta con attribuzione di un punteggio pari a punti “0” per la parte corrispondente alla classe di indicatore ISEE utile ai fini della graduatoria. </w:t>
      </w:r>
    </w:p>
    <w:p w:rsidR="00EF316A" w:rsidRDefault="00F6479F">
      <w:pPr>
        <w:pStyle w:val="Titolo1"/>
        <w:rPr>
          <w:rFonts w:ascii="Arial" w:hAnsi="Arial"/>
          <w:color w:val="000000"/>
          <w:sz w:val="24"/>
          <w:szCs w:val="24"/>
        </w:rPr>
      </w:pPr>
      <w:r>
        <w:rPr>
          <w:rFonts w:ascii="Arial" w:hAnsi="Arial"/>
          <w:color w:val="000000"/>
          <w:sz w:val="24"/>
          <w:szCs w:val="24"/>
        </w:rPr>
        <w:t xml:space="preserve">Art. </w:t>
      </w:r>
      <w:r>
        <w:rPr>
          <w:rFonts w:ascii="Arial" w:hAnsi="Arial"/>
          <w:color w:val="000000"/>
          <w:sz w:val="24"/>
          <w:szCs w:val="24"/>
        </w:rPr>
        <w:t>5</w:t>
      </w:r>
      <w:r>
        <w:rPr>
          <w:rFonts w:ascii="Arial" w:hAnsi="Arial"/>
          <w:color w:val="000000"/>
          <w:sz w:val="24"/>
          <w:szCs w:val="24"/>
        </w:rPr>
        <w:t xml:space="preserve"> – Cumulo e incompatibilità</w:t>
      </w:r>
    </w:p>
    <w:p w:rsidR="00EF316A" w:rsidRDefault="00F6479F">
      <w:pPr>
        <w:jc w:val="both"/>
        <w:rPr>
          <w:rFonts w:ascii="Arial" w:hAnsi="Arial"/>
          <w:color w:val="000000"/>
          <w:sz w:val="24"/>
          <w:szCs w:val="24"/>
        </w:rPr>
      </w:pPr>
      <w:r>
        <w:rPr>
          <w:rFonts w:ascii="Arial" w:hAnsi="Arial"/>
          <w:color w:val="000000"/>
          <w:sz w:val="24"/>
          <w:szCs w:val="24"/>
        </w:rPr>
        <w:t>La borsa SILF è c</w:t>
      </w:r>
      <w:r>
        <w:rPr>
          <w:rFonts w:ascii="Arial" w:hAnsi="Arial"/>
          <w:color w:val="000000"/>
          <w:sz w:val="24"/>
          <w:szCs w:val="24"/>
        </w:rPr>
        <w:t>ompatibile con altri sostegni allo studio, salvo incompatibilità espressamente previste dall’ente erogatore dell’altro beneficio. Qualsiasi eventuale limite al cumulo dovrà essere deliberato prima della pubblicazione del bando, con indicazione chiara dell’</w:t>
      </w:r>
      <w:r>
        <w:rPr>
          <w:rFonts w:ascii="Arial" w:hAnsi="Arial"/>
          <w:color w:val="000000"/>
          <w:sz w:val="24"/>
          <w:szCs w:val="24"/>
        </w:rPr>
        <w:t>anno di riferimento, della soglia economica e delle modalità di verifica. I contributi Erasmus non comportano automaticamente l’esclusione.</w:t>
      </w:r>
    </w:p>
    <w:p w:rsidR="00EF316A" w:rsidRDefault="00F6479F">
      <w:pPr>
        <w:pStyle w:val="Titolo1"/>
        <w:rPr>
          <w:rFonts w:ascii="Arial" w:hAnsi="Arial"/>
          <w:color w:val="000000"/>
          <w:sz w:val="24"/>
          <w:szCs w:val="24"/>
        </w:rPr>
      </w:pPr>
      <w:r>
        <w:rPr>
          <w:rFonts w:ascii="Arial" w:hAnsi="Arial"/>
          <w:color w:val="000000"/>
          <w:sz w:val="24"/>
          <w:szCs w:val="24"/>
        </w:rPr>
        <w:t xml:space="preserve">Art. </w:t>
      </w:r>
      <w:r>
        <w:rPr>
          <w:rFonts w:ascii="Arial" w:hAnsi="Arial"/>
          <w:color w:val="000000"/>
          <w:sz w:val="24"/>
          <w:szCs w:val="24"/>
        </w:rPr>
        <w:t>6</w:t>
      </w:r>
      <w:r>
        <w:rPr>
          <w:rFonts w:ascii="Arial" w:hAnsi="Arial"/>
          <w:color w:val="000000"/>
          <w:sz w:val="24"/>
          <w:szCs w:val="24"/>
        </w:rPr>
        <w:t>– Presentazione della domanda</w:t>
      </w:r>
    </w:p>
    <w:p w:rsidR="00EF316A" w:rsidRDefault="00F6479F">
      <w:pPr>
        <w:jc w:val="both"/>
        <w:rPr>
          <w:rFonts w:ascii="Arial" w:hAnsi="Arial"/>
          <w:color w:val="000000"/>
          <w:sz w:val="24"/>
          <w:szCs w:val="24"/>
        </w:rPr>
      </w:pPr>
      <w:r>
        <w:rPr>
          <w:rFonts w:ascii="Arial" w:hAnsi="Arial"/>
          <w:color w:val="000000"/>
          <w:sz w:val="24"/>
          <w:szCs w:val="24"/>
        </w:rPr>
        <w:t>La domanda è sottoscritta dal candidato maggiorenne oppure, se minorenne, dal ge</w:t>
      </w:r>
      <w:r>
        <w:rPr>
          <w:rFonts w:ascii="Arial" w:hAnsi="Arial"/>
          <w:color w:val="000000"/>
          <w:sz w:val="24"/>
          <w:szCs w:val="24"/>
        </w:rPr>
        <w:t>nitore esercente la responsabilità genitor</w:t>
      </w:r>
      <w:r>
        <w:rPr>
          <w:rFonts w:ascii="Arial" w:hAnsi="Arial"/>
          <w:color w:val="000000"/>
          <w:sz w:val="24"/>
          <w:szCs w:val="24"/>
        </w:rPr>
        <w:t xml:space="preserve">iale o dal tutore. Deve essere trasmessa mediante PEC all’indirizzo </w:t>
      </w:r>
      <w:hyperlink r:id="rId8">
        <w:r>
          <w:rPr>
            <w:rStyle w:val="CollegamentoInternet"/>
            <w:rFonts w:ascii="Arial" w:hAnsi="Arial"/>
            <w:color w:val="000000"/>
            <w:sz w:val="24"/>
            <w:szCs w:val="24"/>
          </w:rPr>
          <w:t>segreteriasilf@pec.it</w:t>
        </w:r>
      </w:hyperlink>
      <w:r>
        <w:rPr>
          <w:rFonts w:ascii="Arial" w:hAnsi="Arial"/>
          <w:color w:val="000000"/>
          <w:sz w:val="24"/>
          <w:szCs w:val="24"/>
        </w:rPr>
        <w:t xml:space="preserve">, utilizzando il modulo allegato, </w:t>
      </w:r>
      <w:r>
        <w:rPr>
          <w:rFonts w:ascii="Arial" w:hAnsi="Arial"/>
          <w:b/>
          <w:bCs/>
          <w:color w:val="000000"/>
          <w:sz w:val="24"/>
          <w:szCs w:val="24"/>
        </w:rPr>
        <w:t xml:space="preserve">dalle ore 12:00 del 01.11.2026 alle ore </w:t>
      </w:r>
      <w:r>
        <w:rPr>
          <w:rFonts w:ascii="Arial" w:hAnsi="Arial"/>
          <w:b/>
          <w:bCs/>
          <w:color w:val="000000"/>
          <w:sz w:val="24"/>
          <w:szCs w:val="24"/>
        </w:rPr>
        <w:t>12:00 del 20.11.2026</w:t>
      </w:r>
      <w:r>
        <w:rPr>
          <w:rFonts w:ascii="Arial" w:hAnsi="Arial"/>
          <w:color w:val="000000"/>
          <w:sz w:val="24"/>
          <w:szCs w:val="24"/>
        </w:rPr>
        <w:t>. In caso di più invii si considera valida l’ultima domanda completa pervenuta entro il termine. Le</w:t>
      </w:r>
      <w:r>
        <w:rPr>
          <w:rFonts w:ascii="Arial" w:hAnsi="Arial"/>
          <w:color w:val="000000"/>
          <w:sz w:val="24"/>
          <w:szCs w:val="24"/>
        </w:rPr>
        <w:t xml:space="preserve"> sole carenze formali sanabili possono essere regolarizzate entro il termine assegnato dalla commissione, senza consentire l’acquisizione</w:t>
      </w:r>
      <w:r>
        <w:rPr>
          <w:rFonts w:ascii="Arial" w:hAnsi="Arial"/>
          <w:color w:val="000000"/>
          <w:sz w:val="24"/>
          <w:szCs w:val="24"/>
        </w:rPr>
        <w:t xml:space="preserve"> tardiva di requisiti sostanziali.</w:t>
      </w:r>
    </w:p>
    <w:p w:rsidR="00EF316A" w:rsidRDefault="00F6479F">
      <w:pPr>
        <w:pStyle w:val="Titolo1"/>
        <w:rPr>
          <w:rFonts w:ascii="Arial" w:hAnsi="Arial"/>
          <w:color w:val="000000"/>
          <w:sz w:val="24"/>
          <w:szCs w:val="24"/>
        </w:rPr>
      </w:pPr>
      <w:r>
        <w:rPr>
          <w:rFonts w:ascii="Arial" w:hAnsi="Arial"/>
          <w:color w:val="000000"/>
          <w:sz w:val="24"/>
          <w:szCs w:val="24"/>
        </w:rPr>
        <w:t xml:space="preserve">Art. </w:t>
      </w:r>
      <w:r>
        <w:rPr>
          <w:rFonts w:ascii="Arial" w:hAnsi="Arial"/>
          <w:color w:val="000000"/>
          <w:sz w:val="24"/>
          <w:szCs w:val="24"/>
        </w:rPr>
        <w:t>7</w:t>
      </w:r>
      <w:r>
        <w:rPr>
          <w:rFonts w:ascii="Arial" w:hAnsi="Arial"/>
          <w:color w:val="000000"/>
          <w:sz w:val="24"/>
          <w:szCs w:val="24"/>
        </w:rPr>
        <w:t>– Documentazione e protezione dei dati</w:t>
      </w:r>
    </w:p>
    <w:p w:rsidR="00EF316A" w:rsidRDefault="00F6479F">
      <w:pPr>
        <w:jc w:val="both"/>
        <w:rPr>
          <w:rFonts w:ascii="Arial" w:hAnsi="Arial"/>
          <w:color w:val="000000"/>
          <w:sz w:val="24"/>
          <w:szCs w:val="24"/>
        </w:rPr>
      </w:pPr>
      <w:r>
        <w:rPr>
          <w:rFonts w:ascii="Arial" w:hAnsi="Arial"/>
          <w:color w:val="000000"/>
          <w:sz w:val="24"/>
          <w:szCs w:val="24"/>
        </w:rPr>
        <w:t>Alla domanda sono allegate le dichiarazioni e la documentazione strettamente necessarie a dimostrare il percorso scolastico, il rapporto di parentela e la posizione associativa</w:t>
      </w:r>
      <w:r>
        <w:rPr>
          <w:rFonts w:ascii="Arial" w:hAnsi="Arial"/>
          <w:color w:val="000000"/>
          <w:sz w:val="24"/>
          <w:szCs w:val="24"/>
        </w:rPr>
        <w:t>. Per ottenere il relativo punteggio economico può essere prodotta un’attestazione ISEE 2026 in corso di validità e pertinente alla situazione del candidato. Documenti relativi a condizioni familiari particolari, disabilità o salute sono richiesti esclusiv</w:t>
      </w:r>
      <w:r>
        <w:rPr>
          <w:rFonts w:ascii="Arial" w:hAnsi="Arial"/>
          <w:color w:val="000000"/>
          <w:sz w:val="24"/>
          <w:szCs w:val="24"/>
        </w:rPr>
        <w:t>amente quando indispensabili per l’applicazione di criteri previamente approvati e sono trattati con specifiche garanzie di riservatezza. L’IBAN è richiesto esclusivamente ai vincitori prima del pagamento; l’eventuale indicazione di un IBAN non utilizzabil</w:t>
      </w:r>
      <w:r>
        <w:rPr>
          <w:rFonts w:ascii="Arial" w:hAnsi="Arial"/>
          <w:color w:val="000000"/>
          <w:sz w:val="24"/>
          <w:szCs w:val="24"/>
        </w:rPr>
        <w:t>e non determina l’esclusione dal concorso. L’informativa privacy deve indicare finalità, base del trattamento, tempi di conservazione, destinatari dei dati e modalità di esercizio dei diritti.</w:t>
      </w:r>
    </w:p>
    <w:p w:rsidR="00EF316A" w:rsidRDefault="00F6479F">
      <w:pPr>
        <w:pStyle w:val="Titolo1"/>
        <w:rPr>
          <w:rFonts w:ascii="Arial" w:hAnsi="Arial"/>
          <w:color w:val="000000"/>
          <w:sz w:val="24"/>
          <w:szCs w:val="24"/>
        </w:rPr>
      </w:pPr>
      <w:r>
        <w:rPr>
          <w:rFonts w:ascii="Arial" w:hAnsi="Arial"/>
          <w:color w:val="000000"/>
          <w:sz w:val="24"/>
          <w:szCs w:val="24"/>
        </w:rPr>
        <w:t xml:space="preserve">Art. </w:t>
      </w:r>
      <w:r>
        <w:rPr>
          <w:rFonts w:ascii="Arial" w:hAnsi="Arial"/>
          <w:color w:val="000000"/>
          <w:sz w:val="24"/>
          <w:szCs w:val="24"/>
        </w:rPr>
        <w:t>8</w:t>
      </w:r>
      <w:r>
        <w:rPr>
          <w:rFonts w:ascii="Arial" w:hAnsi="Arial"/>
          <w:color w:val="000000"/>
          <w:sz w:val="24"/>
          <w:szCs w:val="24"/>
        </w:rPr>
        <w:t xml:space="preserve"> – Criteri di valutazione e punteggi</w:t>
      </w:r>
    </w:p>
    <w:p w:rsidR="00EF316A" w:rsidRDefault="00F6479F">
      <w:pPr>
        <w:jc w:val="both"/>
        <w:rPr>
          <w:rFonts w:ascii="Arial" w:hAnsi="Arial"/>
          <w:color w:val="000000"/>
          <w:sz w:val="24"/>
          <w:szCs w:val="24"/>
        </w:rPr>
      </w:pPr>
      <w:r>
        <w:rPr>
          <w:rFonts w:ascii="Arial" w:hAnsi="Arial"/>
          <w:color w:val="000000"/>
          <w:sz w:val="24"/>
          <w:szCs w:val="24"/>
        </w:rPr>
        <w:t xml:space="preserve">Le graduatorie sono </w:t>
      </w:r>
      <w:r>
        <w:rPr>
          <w:rFonts w:ascii="Arial" w:hAnsi="Arial"/>
          <w:color w:val="000000"/>
          <w:sz w:val="24"/>
          <w:szCs w:val="24"/>
        </w:rPr>
        <w:t xml:space="preserve">distinte per ciascuna categoria. Il punteggio complessivo deriva dai criteri applicabili alla categoria, secondo le tabelle riportate di seguito. Per la Categoria A, non essendo disponibile un voto numerico finale uniforme, non si procede alla conversione </w:t>
      </w:r>
      <w:r>
        <w:rPr>
          <w:rFonts w:ascii="Arial" w:hAnsi="Arial"/>
          <w:color w:val="000000"/>
          <w:sz w:val="24"/>
          <w:szCs w:val="24"/>
        </w:rPr>
        <w:t>automatica dei livelli di apprendimento in voti: l’eventuale ulteriore criterio oggettivo di merito dovrà essere approvato dalla Segreteria nazionale prima della pubblicazione.</w:t>
      </w:r>
    </w:p>
    <w:p w:rsidR="00EF316A" w:rsidRDefault="00F6479F">
      <w:pPr>
        <w:rPr>
          <w:rFonts w:ascii="Arial" w:hAnsi="Arial"/>
          <w:b/>
          <w:color w:val="000000"/>
          <w:sz w:val="24"/>
          <w:szCs w:val="24"/>
        </w:rPr>
      </w:pPr>
      <w:r>
        <w:rPr>
          <w:rFonts w:ascii="Arial" w:hAnsi="Arial"/>
          <w:b/>
          <w:color w:val="000000"/>
          <w:sz w:val="24"/>
          <w:szCs w:val="24"/>
        </w:rPr>
        <w:t>Punteggio scolastico – Categoria B</w:t>
      </w:r>
    </w:p>
    <w:tbl>
      <w:tblPr>
        <w:tblW w:w="9972" w:type="dxa"/>
        <w:jc w:val="center"/>
        <w:tblLayout w:type="fixed"/>
        <w:tblLook w:val="04A0" w:firstRow="1" w:lastRow="0" w:firstColumn="1" w:lastColumn="0" w:noHBand="0" w:noVBand="1"/>
      </w:tblPr>
      <w:tblGrid>
        <w:gridCol w:w="4986"/>
        <w:gridCol w:w="4985"/>
      </w:tblGrid>
      <w:tr w:rsidR="00EF316A">
        <w:trPr>
          <w:cantSplit/>
          <w:jc w:val="center"/>
        </w:trPr>
        <w:tc>
          <w:tcPr>
            <w:tcW w:w="4986" w:type="dxa"/>
            <w:tcBorders>
              <w:top w:val="single" w:sz="4" w:space="0" w:color="000000"/>
              <w:left w:val="single" w:sz="4" w:space="0" w:color="000000"/>
              <w:bottom w:val="single" w:sz="4" w:space="0" w:color="000000"/>
              <w:right w:val="single" w:sz="4" w:space="0" w:color="000000"/>
            </w:tcBorders>
          </w:tcPr>
          <w:p w:rsidR="00EF316A" w:rsidRDefault="00F6479F">
            <w:pPr>
              <w:widowControl w:val="0"/>
              <w:rPr>
                <w:rFonts w:ascii="Arial" w:hAnsi="Arial"/>
                <w:b/>
                <w:color w:val="000000"/>
                <w:sz w:val="24"/>
                <w:szCs w:val="24"/>
              </w:rPr>
            </w:pPr>
            <w:r>
              <w:rPr>
                <w:rFonts w:ascii="Arial" w:hAnsi="Arial"/>
                <w:b/>
                <w:color w:val="000000"/>
                <w:sz w:val="24"/>
                <w:szCs w:val="24"/>
              </w:rPr>
              <w:t>Valore/Fascia</w:t>
            </w:r>
          </w:p>
        </w:tc>
        <w:tc>
          <w:tcPr>
            <w:tcW w:w="4985" w:type="dxa"/>
            <w:tcBorders>
              <w:top w:val="single" w:sz="4" w:space="0" w:color="000000"/>
              <w:left w:val="single" w:sz="4" w:space="0" w:color="000000"/>
              <w:bottom w:val="single" w:sz="4" w:space="0" w:color="000000"/>
              <w:right w:val="single" w:sz="4" w:space="0" w:color="000000"/>
            </w:tcBorders>
          </w:tcPr>
          <w:p w:rsidR="00EF316A" w:rsidRDefault="00F6479F">
            <w:pPr>
              <w:widowControl w:val="0"/>
              <w:rPr>
                <w:rFonts w:ascii="Arial" w:hAnsi="Arial"/>
                <w:b/>
                <w:color w:val="000000"/>
                <w:sz w:val="24"/>
                <w:szCs w:val="24"/>
              </w:rPr>
            </w:pPr>
            <w:r>
              <w:rPr>
                <w:rFonts w:ascii="Arial" w:hAnsi="Arial"/>
                <w:b/>
                <w:color w:val="000000"/>
                <w:sz w:val="24"/>
                <w:szCs w:val="24"/>
              </w:rPr>
              <w:t>Punti</w:t>
            </w:r>
          </w:p>
        </w:tc>
      </w:tr>
      <w:tr w:rsidR="00EF316A">
        <w:trPr>
          <w:cantSplit/>
          <w:jc w:val="center"/>
        </w:trPr>
        <w:tc>
          <w:tcPr>
            <w:tcW w:w="4986" w:type="dxa"/>
            <w:tcBorders>
              <w:top w:val="single" w:sz="4" w:space="0" w:color="000000"/>
              <w:left w:val="single" w:sz="4" w:space="0" w:color="000000"/>
              <w:bottom w:val="single" w:sz="4" w:space="0" w:color="000000"/>
              <w:right w:val="single" w:sz="4" w:space="0" w:color="000000"/>
            </w:tcBorders>
          </w:tcPr>
          <w:p w:rsidR="00EF316A" w:rsidRDefault="00F6479F">
            <w:pPr>
              <w:widowControl w:val="0"/>
              <w:rPr>
                <w:rFonts w:ascii="Arial" w:hAnsi="Arial"/>
                <w:color w:val="000000"/>
                <w:sz w:val="24"/>
                <w:szCs w:val="24"/>
              </w:rPr>
            </w:pPr>
            <w:r>
              <w:rPr>
                <w:rFonts w:ascii="Arial" w:hAnsi="Arial"/>
                <w:color w:val="000000"/>
                <w:sz w:val="24"/>
                <w:szCs w:val="24"/>
              </w:rPr>
              <w:t>10 e lode</w:t>
            </w:r>
          </w:p>
        </w:tc>
        <w:tc>
          <w:tcPr>
            <w:tcW w:w="4985" w:type="dxa"/>
            <w:tcBorders>
              <w:top w:val="single" w:sz="4" w:space="0" w:color="000000"/>
              <w:left w:val="single" w:sz="4" w:space="0" w:color="000000"/>
              <w:bottom w:val="single" w:sz="4" w:space="0" w:color="000000"/>
              <w:right w:val="single" w:sz="4" w:space="0" w:color="000000"/>
            </w:tcBorders>
          </w:tcPr>
          <w:p w:rsidR="00EF316A" w:rsidRDefault="00F6479F">
            <w:pPr>
              <w:widowControl w:val="0"/>
              <w:rPr>
                <w:rFonts w:ascii="Arial" w:hAnsi="Arial"/>
                <w:color w:val="000000"/>
                <w:sz w:val="24"/>
                <w:szCs w:val="24"/>
              </w:rPr>
            </w:pPr>
            <w:r>
              <w:rPr>
                <w:rFonts w:ascii="Arial" w:hAnsi="Arial"/>
                <w:color w:val="000000"/>
                <w:sz w:val="24"/>
                <w:szCs w:val="24"/>
              </w:rPr>
              <w:t>10</w:t>
            </w:r>
          </w:p>
        </w:tc>
      </w:tr>
      <w:tr w:rsidR="00EF316A">
        <w:trPr>
          <w:cantSplit/>
          <w:jc w:val="center"/>
        </w:trPr>
        <w:tc>
          <w:tcPr>
            <w:tcW w:w="4986" w:type="dxa"/>
            <w:tcBorders>
              <w:top w:val="single" w:sz="4" w:space="0" w:color="000000"/>
              <w:left w:val="single" w:sz="4" w:space="0" w:color="000000"/>
              <w:bottom w:val="single" w:sz="4" w:space="0" w:color="000000"/>
              <w:right w:val="single" w:sz="4" w:space="0" w:color="000000"/>
            </w:tcBorders>
          </w:tcPr>
          <w:p w:rsidR="00EF316A" w:rsidRDefault="00F6479F">
            <w:pPr>
              <w:widowControl w:val="0"/>
              <w:rPr>
                <w:rFonts w:ascii="Arial" w:hAnsi="Arial"/>
                <w:color w:val="000000"/>
                <w:sz w:val="24"/>
                <w:szCs w:val="24"/>
              </w:rPr>
            </w:pPr>
            <w:r>
              <w:rPr>
                <w:rFonts w:ascii="Arial" w:hAnsi="Arial"/>
                <w:color w:val="000000"/>
                <w:sz w:val="24"/>
                <w:szCs w:val="24"/>
              </w:rPr>
              <w:t>10</w:t>
            </w:r>
          </w:p>
        </w:tc>
        <w:tc>
          <w:tcPr>
            <w:tcW w:w="4985" w:type="dxa"/>
            <w:tcBorders>
              <w:top w:val="single" w:sz="4" w:space="0" w:color="000000"/>
              <w:left w:val="single" w:sz="4" w:space="0" w:color="000000"/>
              <w:bottom w:val="single" w:sz="4" w:space="0" w:color="000000"/>
              <w:right w:val="single" w:sz="4" w:space="0" w:color="000000"/>
            </w:tcBorders>
          </w:tcPr>
          <w:p w:rsidR="00EF316A" w:rsidRDefault="00F6479F">
            <w:pPr>
              <w:widowControl w:val="0"/>
              <w:rPr>
                <w:rFonts w:ascii="Arial" w:hAnsi="Arial"/>
                <w:color w:val="000000"/>
                <w:sz w:val="24"/>
                <w:szCs w:val="24"/>
              </w:rPr>
            </w:pPr>
            <w:r>
              <w:rPr>
                <w:rFonts w:ascii="Arial" w:hAnsi="Arial"/>
                <w:color w:val="000000"/>
                <w:sz w:val="24"/>
                <w:szCs w:val="24"/>
              </w:rPr>
              <w:t>9</w:t>
            </w:r>
          </w:p>
        </w:tc>
      </w:tr>
      <w:tr w:rsidR="00EF316A">
        <w:trPr>
          <w:cantSplit/>
          <w:jc w:val="center"/>
        </w:trPr>
        <w:tc>
          <w:tcPr>
            <w:tcW w:w="4986" w:type="dxa"/>
            <w:tcBorders>
              <w:top w:val="single" w:sz="4" w:space="0" w:color="000000"/>
              <w:left w:val="single" w:sz="4" w:space="0" w:color="000000"/>
              <w:bottom w:val="single" w:sz="4" w:space="0" w:color="000000"/>
              <w:right w:val="single" w:sz="4" w:space="0" w:color="000000"/>
            </w:tcBorders>
          </w:tcPr>
          <w:p w:rsidR="00EF316A" w:rsidRDefault="00F6479F">
            <w:pPr>
              <w:widowControl w:val="0"/>
              <w:rPr>
                <w:rFonts w:ascii="Arial" w:hAnsi="Arial"/>
                <w:color w:val="000000"/>
                <w:sz w:val="24"/>
                <w:szCs w:val="24"/>
              </w:rPr>
            </w:pPr>
            <w:r>
              <w:rPr>
                <w:rFonts w:ascii="Arial" w:hAnsi="Arial"/>
                <w:color w:val="000000"/>
                <w:sz w:val="24"/>
                <w:szCs w:val="24"/>
              </w:rPr>
              <w:t>9</w:t>
            </w:r>
          </w:p>
        </w:tc>
        <w:tc>
          <w:tcPr>
            <w:tcW w:w="4985" w:type="dxa"/>
            <w:tcBorders>
              <w:top w:val="single" w:sz="4" w:space="0" w:color="000000"/>
              <w:left w:val="single" w:sz="4" w:space="0" w:color="000000"/>
              <w:bottom w:val="single" w:sz="4" w:space="0" w:color="000000"/>
              <w:right w:val="single" w:sz="4" w:space="0" w:color="000000"/>
            </w:tcBorders>
          </w:tcPr>
          <w:p w:rsidR="00EF316A" w:rsidRDefault="00F6479F">
            <w:pPr>
              <w:widowControl w:val="0"/>
              <w:rPr>
                <w:rFonts w:ascii="Arial" w:hAnsi="Arial"/>
                <w:color w:val="000000"/>
                <w:sz w:val="24"/>
                <w:szCs w:val="24"/>
              </w:rPr>
            </w:pPr>
            <w:r>
              <w:rPr>
                <w:rFonts w:ascii="Arial" w:hAnsi="Arial"/>
                <w:color w:val="000000"/>
                <w:sz w:val="24"/>
                <w:szCs w:val="24"/>
              </w:rPr>
              <w:t>8</w:t>
            </w:r>
          </w:p>
        </w:tc>
      </w:tr>
      <w:tr w:rsidR="00EF316A">
        <w:trPr>
          <w:cantSplit/>
          <w:jc w:val="center"/>
        </w:trPr>
        <w:tc>
          <w:tcPr>
            <w:tcW w:w="4986" w:type="dxa"/>
            <w:tcBorders>
              <w:top w:val="single" w:sz="4" w:space="0" w:color="000000"/>
              <w:left w:val="single" w:sz="4" w:space="0" w:color="000000"/>
              <w:bottom w:val="single" w:sz="4" w:space="0" w:color="000000"/>
              <w:right w:val="single" w:sz="4" w:space="0" w:color="000000"/>
            </w:tcBorders>
          </w:tcPr>
          <w:p w:rsidR="00EF316A" w:rsidRDefault="00F6479F">
            <w:pPr>
              <w:widowControl w:val="0"/>
              <w:rPr>
                <w:rFonts w:ascii="Arial" w:hAnsi="Arial"/>
                <w:color w:val="000000"/>
                <w:sz w:val="24"/>
                <w:szCs w:val="24"/>
              </w:rPr>
            </w:pPr>
            <w:r>
              <w:rPr>
                <w:rFonts w:ascii="Arial" w:hAnsi="Arial"/>
                <w:color w:val="000000"/>
                <w:sz w:val="24"/>
                <w:szCs w:val="24"/>
              </w:rPr>
              <w:t>8</w:t>
            </w:r>
          </w:p>
        </w:tc>
        <w:tc>
          <w:tcPr>
            <w:tcW w:w="4985" w:type="dxa"/>
            <w:tcBorders>
              <w:top w:val="single" w:sz="4" w:space="0" w:color="000000"/>
              <w:left w:val="single" w:sz="4" w:space="0" w:color="000000"/>
              <w:bottom w:val="single" w:sz="4" w:space="0" w:color="000000"/>
              <w:right w:val="single" w:sz="4" w:space="0" w:color="000000"/>
            </w:tcBorders>
          </w:tcPr>
          <w:p w:rsidR="00EF316A" w:rsidRDefault="00F6479F">
            <w:pPr>
              <w:widowControl w:val="0"/>
              <w:rPr>
                <w:rFonts w:ascii="Arial" w:hAnsi="Arial"/>
                <w:color w:val="000000"/>
                <w:sz w:val="24"/>
                <w:szCs w:val="24"/>
              </w:rPr>
            </w:pPr>
            <w:r>
              <w:rPr>
                <w:rFonts w:ascii="Arial" w:hAnsi="Arial"/>
                <w:color w:val="000000"/>
                <w:sz w:val="24"/>
                <w:szCs w:val="24"/>
              </w:rPr>
              <w:t>7</w:t>
            </w:r>
          </w:p>
        </w:tc>
      </w:tr>
      <w:tr w:rsidR="00EF316A">
        <w:trPr>
          <w:cantSplit/>
          <w:jc w:val="center"/>
        </w:trPr>
        <w:tc>
          <w:tcPr>
            <w:tcW w:w="4986" w:type="dxa"/>
            <w:tcBorders>
              <w:top w:val="single" w:sz="4" w:space="0" w:color="000000"/>
              <w:left w:val="single" w:sz="4" w:space="0" w:color="000000"/>
              <w:bottom w:val="single" w:sz="4" w:space="0" w:color="000000"/>
              <w:right w:val="single" w:sz="4" w:space="0" w:color="000000"/>
            </w:tcBorders>
          </w:tcPr>
          <w:p w:rsidR="00EF316A" w:rsidRDefault="00F6479F">
            <w:pPr>
              <w:widowControl w:val="0"/>
              <w:rPr>
                <w:rFonts w:ascii="Arial" w:hAnsi="Arial"/>
                <w:color w:val="000000"/>
                <w:sz w:val="24"/>
                <w:szCs w:val="24"/>
              </w:rPr>
            </w:pPr>
            <w:r>
              <w:rPr>
                <w:rFonts w:ascii="Arial" w:hAnsi="Arial"/>
                <w:color w:val="000000"/>
                <w:sz w:val="24"/>
                <w:szCs w:val="24"/>
              </w:rPr>
              <w:t>7</w:t>
            </w:r>
          </w:p>
        </w:tc>
        <w:tc>
          <w:tcPr>
            <w:tcW w:w="4985" w:type="dxa"/>
            <w:tcBorders>
              <w:top w:val="single" w:sz="4" w:space="0" w:color="000000"/>
              <w:left w:val="single" w:sz="4" w:space="0" w:color="000000"/>
              <w:bottom w:val="single" w:sz="4" w:space="0" w:color="000000"/>
              <w:right w:val="single" w:sz="4" w:space="0" w:color="000000"/>
            </w:tcBorders>
          </w:tcPr>
          <w:p w:rsidR="00EF316A" w:rsidRDefault="00F6479F">
            <w:pPr>
              <w:widowControl w:val="0"/>
              <w:rPr>
                <w:rFonts w:ascii="Arial" w:hAnsi="Arial"/>
                <w:color w:val="000000"/>
                <w:sz w:val="24"/>
                <w:szCs w:val="24"/>
              </w:rPr>
            </w:pPr>
            <w:r>
              <w:rPr>
                <w:rFonts w:ascii="Arial" w:hAnsi="Arial"/>
                <w:color w:val="000000"/>
                <w:sz w:val="24"/>
                <w:szCs w:val="24"/>
              </w:rPr>
              <w:t>6</w:t>
            </w:r>
          </w:p>
        </w:tc>
      </w:tr>
      <w:tr w:rsidR="00EF316A">
        <w:trPr>
          <w:cantSplit/>
          <w:jc w:val="center"/>
        </w:trPr>
        <w:tc>
          <w:tcPr>
            <w:tcW w:w="4986" w:type="dxa"/>
            <w:tcBorders>
              <w:top w:val="single" w:sz="4" w:space="0" w:color="000000"/>
              <w:left w:val="single" w:sz="4" w:space="0" w:color="000000"/>
              <w:bottom w:val="single" w:sz="4" w:space="0" w:color="000000"/>
              <w:right w:val="single" w:sz="4" w:space="0" w:color="000000"/>
            </w:tcBorders>
          </w:tcPr>
          <w:p w:rsidR="00EF316A" w:rsidRDefault="00F6479F">
            <w:pPr>
              <w:widowControl w:val="0"/>
              <w:rPr>
                <w:rFonts w:ascii="Arial" w:hAnsi="Arial"/>
                <w:color w:val="000000"/>
                <w:sz w:val="24"/>
                <w:szCs w:val="24"/>
              </w:rPr>
            </w:pPr>
            <w:r>
              <w:rPr>
                <w:rFonts w:ascii="Arial" w:hAnsi="Arial"/>
                <w:color w:val="000000"/>
                <w:sz w:val="24"/>
                <w:szCs w:val="24"/>
              </w:rPr>
              <w:t>6</w:t>
            </w:r>
          </w:p>
        </w:tc>
        <w:tc>
          <w:tcPr>
            <w:tcW w:w="4985" w:type="dxa"/>
            <w:tcBorders>
              <w:top w:val="single" w:sz="4" w:space="0" w:color="000000"/>
              <w:left w:val="single" w:sz="4" w:space="0" w:color="000000"/>
              <w:bottom w:val="single" w:sz="4" w:space="0" w:color="000000"/>
              <w:right w:val="single" w:sz="4" w:space="0" w:color="000000"/>
            </w:tcBorders>
          </w:tcPr>
          <w:p w:rsidR="00EF316A" w:rsidRDefault="00F6479F">
            <w:pPr>
              <w:widowControl w:val="0"/>
              <w:rPr>
                <w:rFonts w:ascii="Arial" w:hAnsi="Arial"/>
                <w:color w:val="000000"/>
                <w:sz w:val="24"/>
                <w:szCs w:val="24"/>
              </w:rPr>
            </w:pPr>
            <w:r>
              <w:rPr>
                <w:rFonts w:ascii="Arial" w:hAnsi="Arial"/>
                <w:color w:val="000000"/>
                <w:sz w:val="24"/>
                <w:szCs w:val="24"/>
              </w:rPr>
              <w:t>4</w:t>
            </w:r>
          </w:p>
        </w:tc>
      </w:tr>
    </w:tbl>
    <w:p w:rsidR="00EF316A" w:rsidRDefault="00F6479F">
      <w:pPr>
        <w:rPr>
          <w:rFonts w:ascii="Arial" w:hAnsi="Arial"/>
          <w:b/>
          <w:color w:val="000000"/>
          <w:sz w:val="24"/>
          <w:szCs w:val="24"/>
        </w:rPr>
      </w:pPr>
      <w:r>
        <w:rPr>
          <w:rFonts w:ascii="Arial" w:hAnsi="Arial"/>
          <w:b/>
          <w:color w:val="000000"/>
          <w:sz w:val="24"/>
          <w:szCs w:val="24"/>
        </w:rPr>
        <w:t>Punteggio scolastico – Categoria C</w:t>
      </w:r>
    </w:p>
    <w:tbl>
      <w:tblPr>
        <w:tblW w:w="9972" w:type="dxa"/>
        <w:jc w:val="center"/>
        <w:tblLayout w:type="fixed"/>
        <w:tblLook w:val="04A0" w:firstRow="1" w:lastRow="0" w:firstColumn="1" w:lastColumn="0" w:noHBand="0" w:noVBand="1"/>
      </w:tblPr>
      <w:tblGrid>
        <w:gridCol w:w="4986"/>
        <w:gridCol w:w="4985"/>
      </w:tblGrid>
      <w:tr w:rsidR="00EF316A">
        <w:trPr>
          <w:cantSplit/>
          <w:jc w:val="center"/>
        </w:trPr>
        <w:tc>
          <w:tcPr>
            <w:tcW w:w="4986" w:type="dxa"/>
            <w:tcBorders>
              <w:top w:val="single" w:sz="4" w:space="0" w:color="000000"/>
              <w:left w:val="single" w:sz="4" w:space="0" w:color="000000"/>
              <w:bottom w:val="single" w:sz="4" w:space="0" w:color="000000"/>
              <w:right w:val="single" w:sz="4" w:space="0" w:color="000000"/>
            </w:tcBorders>
          </w:tcPr>
          <w:p w:rsidR="00EF316A" w:rsidRDefault="00F6479F">
            <w:pPr>
              <w:widowControl w:val="0"/>
              <w:rPr>
                <w:rFonts w:ascii="Arial" w:hAnsi="Arial"/>
                <w:b/>
                <w:color w:val="000000"/>
                <w:sz w:val="24"/>
                <w:szCs w:val="24"/>
              </w:rPr>
            </w:pPr>
            <w:r>
              <w:rPr>
                <w:rFonts w:ascii="Arial" w:hAnsi="Arial"/>
                <w:b/>
                <w:color w:val="000000"/>
                <w:sz w:val="24"/>
                <w:szCs w:val="24"/>
              </w:rPr>
              <w:t>Valore/Fascia</w:t>
            </w:r>
          </w:p>
        </w:tc>
        <w:tc>
          <w:tcPr>
            <w:tcW w:w="4985" w:type="dxa"/>
            <w:tcBorders>
              <w:top w:val="single" w:sz="4" w:space="0" w:color="000000"/>
              <w:left w:val="single" w:sz="4" w:space="0" w:color="000000"/>
              <w:bottom w:val="single" w:sz="4" w:space="0" w:color="000000"/>
              <w:right w:val="single" w:sz="4" w:space="0" w:color="000000"/>
            </w:tcBorders>
          </w:tcPr>
          <w:p w:rsidR="00EF316A" w:rsidRDefault="00F6479F">
            <w:pPr>
              <w:widowControl w:val="0"/>
              <w:rPr>
                <w:rFonts w:ascii="Arial" w:hAnsi="Arial"/>
                <w:b/>
                <w:color w:val="000000"/>
                <w:sz w:val="24"/>
                <w:szCs w:val="24"/>
              </w:rPr>
            </w:pPr>
            <w:r>
              <w:rPr>
                <w:rFonts w:ascii="Arial" w:hAnsi="Arial"/>
                <w:b/>
                <w:color w:val="000000"/>
                <w:sz w:val="24"/>
                <w:szCs w:val="24"/>
              </w:rPr>
              <w:t>Punti</w:t>
            </w:r>
          </w:p>
        </w:tc>
      </w:tr>
      <w:tr w:rsidR="00EF316A">
        <w:trPr>
          <w:cantSplit/>
          <w:jc w:val="center"/>
        </w:trPr>
        <w:tc>
          <w:tcPr>
            <w:tcW w:w="4986" w:type="dxa"/>
            <w:tcBorders>
              <w:top w:val="single" w:sz="4" w:space="0" w:color="000000"/>
              <w:left w:val="single" w:sz="4" w:space="0" w:color="000000"/>
              <w:bottom w:val="single" w:sz="4" w:space="0" w:color="000000"/>
              <w:right w:val="single" w:sz="4" w:space="0" w:color="000000"/>
            </w:tcBorders>
          </w:tcPr>
          <w:p w:rsidR="00EF316A" w:rsidRDefault="00F6479F">
            <w:pPr>
              <w:widowControl w:val="0"/>
              <w:rPr>
                <w:rFonts w:ascii="Arial" w:hAnsi="Arial"/>
                <w:color w:val="000000"/>
                <w:sz w:val="24"/>
                <w:szCs w:val="24"/>
              </w:rPr>
            </w:pPr>
            <w:r>
              <w:rPr>
                <w:rFonts w:ascii="Arial" w:hAnsi="Arial"/>
                <w:color w:val="000000"/>
                <w:sz w:val="24"/>
                <w:szCs w:val="24"/>
              </w:rPr>
              <w:t>100 e lode</w:t>
            </w:r>
          </w:p>
        </w:tc>
        <w:tc>
          <w:tcPr>
            <w:tcW w:w="4985" w:type="dxa"/>
            <w:tcBorders>
              <w:top w:val="single" w:sz="4" w:space="0" w:color="000000"/>
              <w:left w:val="single" w:sz="4" w:space="0" w:color="000000"/>
              <w:bottom w:val="single" w:sz="4" w:space="0" w:color="000000"/>
              <w:right w:val="single" w:sz="4" w:space="0" w:color="000000"/>
            </w:tcBorders>
          </w:tcPr>
          <w:p w:rsidR="00EF316A" w:rsidRDefault="00F6479F">
            <w:pPr>
              <w:widowControl w:val="0"/>
              <w:rPr>
                <w:rFonts w:ascii="Arial" w:hAnsi="Arial"/>
                <w:color w:val="000000"/>
                <w:sz w:val="24"/>
                <w:szCs w:val="24"/>
              </w:rPr>
            </w:pPr>
            <w:r>
              <w:rPr>
                <w:rFonts w:ascii="Arial" w:hAnsi="Arial"/>
                <w:color w:val="000000"/>
                <w:sz w:val="24"/>
                <w:szCs w:val="24"/>
              </w:rPr>
              <w:t>11</w:t>
            </w:r>
          </w:p>
        </w:tc>
      </w:tr>
      <w:tr w:rsidR="00EF316A">
        <w:trPr>
          <w:cantSplit/>
          <w:jc w:val="center"/>
        </w:trPr>
        <w:tc>
          <w:tcPr>
            <w:tcW w:w="4986" w:type="dxa"/>
            <w:tcBorders>
              <w:top w:val="single" w:sz="4" w:space="0" w:color="000000"/>
              <w:left w:val="single" w:sz="4" w:space="0" w:color="000000"/>
              <w:bottom w:val="single" w:sz="4" w:space="0" w:color="000000"/>
              <w:right w:val="single" w:sz="4" w:space="0" w:color="000000"/>
            </w:tcBorders>
          </w:tcPr>
          <w:p w:rsidR="00EF316A" w:rsidRDefault="00F6479F">
            <w:pPr>
              <w:widowControl w:val="0"/>
              <w:rPr>
                <w:rFonts w:ascii="Arial" w:hAnsi="Arial"/>
                <w:color w:val="000000"/>
                <w:sz w:val="24"/>
                <w:szCs w:val="24"/>
              </w:rPr>
            </w:pPr>
            <w:r>
              <w:rPr>
                <w:rFonts w:ascii="Arial" w:hAnsi="Arial"/>
                <w:color w:val="000000"/>
                <w:sz w:val="24"/>
                <w:szCs w:val="24"/>
              </w:rPr>
              <w:t>100</w:t>
            </w:r>
          </w:p>
        </w:tc>
        <w:tc>
          <w:tcPr>
            <w:tcW w:w="4985" w:type="dxa"/>
            <w:tcBorders>
              <w:top w:val="single" w:sz="4" w:space="0" w:color="000000"/>
              <w:left w:val="single" w:sz="4" w:space="0" w:color="000000"/>
              <w:bottom w:val="single" w:sz="4" w:space="0" w:color="000000"/>
              <w:right w:val="single" w:sz="4" w:space="0" w:color="000000"/>
            </w:tcBorders>
          </w:tcPr>
          <w:p w:rsidR="00EF316A" w:rsidRDefault="00F6479F">
            <w:pPr>
              <w:widowControl w:val="0"/>
              <w:rPr>
                <w:rFonts w:ascii="Arial" w:hAnsi="Arial"/>
                <w:color w:val="000000"/>
                <w:sz w:val="24"/>
                <w:szCs w:val="24"/>
              </w:rPr>
            </w:pPr>
            <w:r>
              <w:rPr>
                <w:rFonts w:ascii="Arial" w:hAnsi="Arial"/>
                <w:color w:val="000000"/>
                <w:sz w:val="24"/>
                <w:szCs w:val="24"/>
              </w:rPr>
              <w:t>10</w:t>
            </w:r>
          </w:p>
        </w:tc>
      </w:tr>
      <w:tr w:rsidR="00EF316A">
        <w:trPr>
          <w:cantSplit/>
          <w:jc w:val="center"/>
        </w:trPr>
        <w:tc>
          <w:tcPr>
            <w:tcW w:w="4986" w:type="dxa"/>
            <w:tcBorders>
              <w:top w:val="single" w:sz="4" w:space="0" w:color="000000"/>
              <w:left w:val="single" w:sz="4" w:space="0" w:color="000000"/>
              <w:bottom w:val="single" w:sz="4" w:space="0" w:color="000000"/>
              <w:right w:val="single" w:sz="4" w:space="0" w:color="000000"/>
            </w:tcBorders>
          </w:tcPr>
          <w:p w:rsidR="00EF316A" w:rsidRDefault="00F6479F">
            <w:pPr>
              <w:widowControl w:val="0"/>
              <w:rPr>
                <w:rFonts w:ascii="Arial" w:hAnsi="Arial"/>
                <w:color w:val="000000"/>
                <w:sz w:val="24"/>
                <w:szCs w:val="24"/>
              </w:rPr>
            </w:pPr>
            <w:r>
              <w:rPr>
                <w:rFonts w:ascii="Arial" w:hAnsi="Arial"/>
                <w:color w:val="000000"/>
                <w:sz w:val="24"/>
                <w:szCs w:val="24"/>
              </w:rPr>
              <w:t>95–99</w:t>
            </w:r>
          </w:p>
        </w:tc>
        <w:tc>
          <w:tcPr>
            <w:tcW w:w="4985" w:type="dxa"/>
            <w:tcBorders>
              <w:top w:val="single" w:sz="4" w:space="0" w:color="000000"/>
              <w:left w:val="single" w:sz="4" w:space="0" w:color="000000"/>
              <w:bottom w:val="single" w:sz="4" w:space="0" w:color="000000"/>
              <w:right w:val="single" w:sz="4" w:space="0" w:color="000000"/>
            </w:tcBorders>
          </w:tcPr>
          <w:p w:rsidR="00EF316A" w:rsidRDefault="00F6479F">
            <w:pPr>
              <w:widowControl w:val="0"/>
              <w:rPr>
                <w:rFonts w:ascii="Arial" w:hAnsi="Arial"/>
                <w:color w:val="000000"/>
                <w:sz w:val="24"/>
                <w:szCs w:val="24"/>
              </w:rPr>
            </w:pPr>
            <w:r>
              <w:rPr>
                <w:rFonts w:ascii="Arial" w:hAnsi="Arial"/>
                <w:color w:val="000000"/>
                <w:sz w:val="24"/>
                <w:szCs w:val="24"/>
              </w:rPr>
              <w:t>8</w:t>
            </w:r>
          </w:p>
        </w:tc>
      </w:tr>
      <w:tr w:rsidR="00EF316A">
        <w:trPr>
          <w:cantSplit/>
          <w:jc w:val="center"/>
        </w:trPr>
        <w:tc>
          <w:tcPr>
            <w:tcW w:w="4986" w:type="dxa"/>
            <w:tcBorders>
              <w:top w:val="single" w:sz="4" w:space="0" w:color="000000"/>
              <w:left w:val="single" w:sz="4" w:space="0" w:color="000000"/>
              <w:bottom w:val="single" w:sz="4" w:space="0" w:color="000000"/>
              <w:right w:val="single" w:sz="4" w:space="0" w:color="000000"/>
            </w:tcBorders>
          </w:tcPr>
          <w:p w:rsidR="00EF316A" w:rsidRDefault="00F6479F">
            <w:pPr>
              <w:widowControl w:val="0"/>
              <w:rPr>
                <w:rFonts w:ascii="Arial" w:hAnsi="Arial"/>
                <w:color w:val="000000"/>
                <w:sz w:val="24"/>
                <w:szCs w:val="24"/>
              </w:rPr>
            </w:pPr>
            <w:r>
              <w:rPr>
                <w:rFonts w:ascii="Arial" w:hAnsi="Arial"/>
                <w:color w:val="000000"/>
                <w:sz w:val="24"/>
                <w:szCs w:val="24"/>
              </w:rPr>
              <w:t>90–94</w:t>
            </w:r>
          </w:p>
        </w:tc>
        <w:tc>
          <w:tcPr>
            <w:tcW w:w="4985" w:type="dxa"/>
            <w:tcBorders>
              <w:top w:val="single" w:sz="4" w:space="0" w:color="000000"/>
              <w:left w:val="single" w:sz="4" w:space="0" w:color="000000"/>
              <w:bottom w:val="single" w:sz="4" w:space="0" w:color="000000"/>
              <w:right w:val="single" w:sz="4" w:space="0" w:color="000000"/>
            </w:tcBorders>
          </w:tcPr>
          <w:p w:rsidR="00EF316A" w:rsidRDefault="00F6479F">
            <w:pPr>
              <w:widowControl w:val="0"/>
              <w:rPr>
                <w:rFonts w:ascii="Arial" w:hAnsi="Arial"/>
                <w:color w:val="000000"/>
                <w:sz w:val="24"/>
                <w:szCs w:val="24"/>
              </w:rPr>
            </w:pPr>
            <w:r>
              <w:rPr>
                <w:rFonts w:ascii="Arial" w:hAnsi="Arial"/>
                <w:color w:val="000000"/>
                <w:sz w:val="24"/>
                <w:szCs w:val="24"/>
              </w:rPr>
              <w:t>6</w:t>
            </w:r>
          </w:p>
        </w:tc>
      </w:tr>
      <w:tr w:rsidR="00EF316A">
        <w:trPr>
          <w:cantSplit/>
          <w:jc w:val="center"/>
        </w:trPr>
        <w:tc>
          <w:tcPr>
            <w:tcW w:w="4986" w:type="dxa"/>
            <w:tcBorders>
              <w:top w:val="single" w:sz="4" w:space="0" w:color="000000"/>
              <w:left w:val="single" w:sz="4" w:space="0" w:color="000000"/>
              <w:bottom w:val="single" w:sz="4" w:space="0" w:color="000000"/>
              <w:right w:val="single" w:sz="4" w:space="0" w:color="000000"/>
            </w:tcBorders>
          </w:tcPr>
          <w:p w:rsidR="00EF316A" w:rsidRDefault="00F6479F">
            <w:pPr>
              <w:widowControl w:val="0"/>
              <w:rPr>
                <w:rFonts w:ascii="Arial" w:hAnsi="Arial"/>
                <w:color w:val="000000"/>
                <w:sz w:val="24"/>
                <w:szCs w:val="24"/>
              </w:rPr>
            </w:pPr>
            <w:r>
              <w:rPr>
                <w:rFonts w:ascii="Arial" w:hAnsi="Arial"/>
                <w:color w:val="000000"/>
                <w:sz w:val="24"/>
                <w:szCs w:val="24"/>
              </w:rPr>
              <w:t>85–89</w:t>
            </w:r>
          </w:p>
        </w:tc>
        <w:tc>
          <w:tcPr>
            <w:tcW w:w="4985" w:type="dxa"/>
            <w:tcBorders>
              <w:top w:val="single" w:sz="4" w:space="0" w:color="000000"/>
              <w:left w:val="single" w:sz="4" w:space="0" w:color="000000"/>
              <w:bottom w:val="single" w:sz="4" w:space="0" w:color="000000"/>
              <w:right w:val="single" w:sz="4" w:space="0" w:color="000000"/>
            </w:tcBorders>
          </w:tcPr>
          <w:p w:rsidR="00EF316A" w:rsidRDefault="00F6479F">
            <w:pPr>
              <w:widowControl w:val="0"/>
              <w:rPr>
                <w:rFonts w:ascii="Arial" w:hAnsi="Arial"/>
                <w:color w:val="000000"/>
                <w:sz w:val="24"/>
                <w:szCs w:val="24"/>
              </w:rPr>
            </w:pPr>
            <w:r>
              <w:rPr>
                <w:rFonts w:ascii="Arial" w:hAnsi="Arial"/>
                <w:color w:val="000000"/>
                <w:sz w:val="24"/>
                <w:szCs w:val="24"/>
              </w:rPr>
              <w:t>4</w:t>
            </w:r>
          </w:p>
        </w:tc>
      </w:tr>
      <w:tr w:rsidR="00EF316A">
        <w:trPr>
          <w:cantSplit/>
          <w:jc w:val="center"/>
        </w:trPr>
        <w:tc>
          <w:tcPr>
            <w:tcW w:w="4986" w:type="dxa"/>
            <w:tcBorders>
              <w:top w:val="single" w:sz="4" w:space="0" w:color="000000"/>
              <w:left w:val="single" w:sz="4" w:space="0" w:color="000000"/>
              <w:bottom w:val="single" w:sz="4" w:space="0" w:color="000000"/>
              <w:right w:val="single" w:sz="4" w:space="0" w:color="000000"/>
            </w:tcBorders>
          </w:tcPr>
          <w:p w:rsidR="00EF316A" w:rsidRDefault="00F6479F">
            <w:pPr>
              <w:widowControl w:val="0"/>
              <w:rPr>
                <w:rFonts w:ascii="Arial" w:hAnsi="Arial"/>
                <w:color w:val="000000"/>
                <w:sz w:val="24"/>
                <w:szCs w:val="24"/>
              </w:rPr>
            </w:pPr>
            <w:r>
              <w:rPr>
                <w:rFonts w:ascii="Arial" w:hAnsi="Arial"/>
                <w:color w:val="000000"/>
                <w:sz w:val="24"/>
                <w:szCs w:val="24"/>
              </w:rPr>
              <w:t>80–84</w:t>
            </w:r>
          </w:p>
        </w:tc>
        <w:tc>
          <w:tcPr>
            <w:tcW w:w="4985" w:type="dxa"/>
            <w:tcBorders>
              <w:top w:val="single" w:sz="4" w:space="0" w:color="000000"/>
              <w:left w:val="single" w:sz="4" w:space="0" w:color="000000"/>
              <w:bottom w:val="single" w:sz="4" w:space="0" w:color="000000"/>
              <w:right w:val="single" w:sz="4" w:space="0" w:color="000000"/>
            </w:tcBorders>
          </w:tcPr>
          <w:p w:rsidR="00EF316A" w:rsidRDefault="00F6479F">
            <w:pPr>
              <w:widowControl w:val="0"/>
              <w:rPr>
                <w:rFonts w:ascii="Arial" w:hAnsi="Arial"/>
                <w:color w:val="000000"/>
                <w:sz w:val="24"/>
                <w:szCs w:val="24"/>
              </w:rPr>
            </w:pPr>
            <w:r>
              <w:rPr>
                <w:rFonts w:ascii="Arial" w:hAnsi="Arial"/>
                <w:color w:val="000000"/>
                <w:sz w:val="24"/>
                <w:szCs w:val="24"/>
              </w:rPr>
              <w:t>2</w:t>
            </w:r>
          </w:p>
        </w:tc>
      </w:tr>
      <w:tr w:rsidR="00EF316A">
        <w:trPr>
          <w:cantSplit/>
          <w:jc w:val="center"/>
        </w:trPr>
        <w:tc>
          <w:tcPr>
            <w:tcW w:w="4986" w:type="dxa"/>
            <w:tcBorders>
              <w:top w:val="single" w:sz="4" w:space="0" w:color="000000"/>
              <w:left w:val="single" w:sz="4" w:space="0" w:color="000000"/>
              <w:bottom w:val="single" w:sz="4" w:space="0" w:color="000000"/>
              <w:right w:val="single" w:sz="4" w:space="0" w:color="000000"/>
            </w:tcBorders>
          </w:tcPr>
          <w:p w:rsidR="00EF316A" w:rsidRDefault="00F6479F">
            <w:pPr>
              <w:widowControl w:val="0"/>
              <w:rPr>
                <w:rFonts w:ascii="Arial" w:hAnsi="Arial"/>
                <w:color w:val="000000"/>
                <w:sz w:val="24"/>
                <w:szCs w:val="24"/>
              </w:rPr>
            </w:pPr>
            <w:r>
              <w:rPr>
                <w:rFonts w:ascii="Arial" w:hAnsi="Arial"/>
                <w:color w:val="000000"/>
                <w:sz w:val="24"/>
                <w:szCs w:val="24"/>
              </w:rPr>
              <w:t>meno di 80</w:t>
            </w:r>
          </w:p>
        </w:tc>
        <w:tc>
          <w:tcPr>
            <w:tcW w:w="4985" w:type="dxa"/>
            <w:tcBorders>
              <w:top w:val="single" w:sz="4" w:space="0" w:color="000000"/>
              <w:left w:val="single" w:sz="4" w:space="0" w:color="000000"/>
              <w:bottom w:val="single" w:sz="4" w:space="0" w:color="000000"/>
              <w:right w:val="single" w:sz="4" w:space="0" w:color="000000"/>
            </w:tcBorders>
          </w:tcPr>
          <w:p w:rsidR="00EF316A" w:rsidRDefault="00F6479F">
            <w:pPr>
              <w:widowControl w:val="0"/>
              <w:rPr>
                <w:rFonts w:ascii="Arial" w:hAnsi="Arial"/>
                <w:color w:val="000000"/>
                <w:sz w:val="24"/>
                <w:szCs w:val="24"/>
              </w:rPr>
            </w:pPr>
            <w:r>
              <w:rPr>
                <w:rFonts w:ascii="Arial" w:hAnsi="Arial"/>
                <w:color w:val="000000"/>
                <w:sz w:val="24"/>
                <w:szCs w:val="24"/>
              </w:rPr>
              <w:t>0</w:t>
            </w:r>
          </w:p>
        </w:tc>
      </w:tr>
    </w:tbl>
    <w:p w:rsidR="00EF316A" w:rsidRDefault="00EF316A">
      <w:pPr>
        <w:rPr>
          <w:rFonts w:ascii="Arial" w:hAnsi="Arial"/>
          <w:b/>
          <w:color w:val="000000"/>
          <w:sz w:val="24"/>
          <w:szCs w:val="24"/>
        </w:rPr>
      </w:pPr>
    </w:p>
    <w:p w:rsidR="00EF316A" w:rsidRDefault="00EF316A">
      <w:pPr>
        <w:rPr>
          <w:rFonts w:ascii="Arial" w:hAnsi="Arial"/>
          <w:b/>
          <w:color w:val="000000"/>
          <w:sz w:val="24"/>
          <w:szCs w:val="24"/>
        </w:rPr>
      </w:pPr>
    </w:p>
    <w:p w:rsidR="00EF316A" w:rsidRDefault="00F6479F">
      <w:pPr>
        <w:rPr>
          <w:rFonts w:ascii="Arial" w:hAnsi="Arial"/>
          <w:b/>
          <w:color w:val="000000"/>
          <w:sz w:val="24"/>
          <w:szCs w:val="24"/>
        </w:rPr>
      </w:pPr>
      <w:r>
        <w:rPr>
          <w:rFonts w:ascii="Arial" w:hAnsi="Arial"/>
          <w:b/>
          <w:color w:val="000000"/>
          <w:sz w:val="24"/>
          <w:szCs w:val="24"/>
        </w:rPr>
        <w:t>Punteggio ISEE 2026 – tutte le categorie</w:t>
      </w:r>
    </w:p>
    <w:tbl>
      <w:tblPr>
        <w:tblW w:w="9972" w:type="dxa"/>
        <w:jc w:val="center"/>
        <w:tblLayout w:type="fixed"/>
        <w:tblLook w:val="04A0" w:firstRow="1" w:lastRow="0" w:firstColumn="1" w:lastColumn="0" w:noHBand="0" w:noVBand="1"/>
      </w:tblPr>
      <w:tblGrid>
        <w:gridCol w:w="4986"/>
        <w:gridCol w:w="4985"/>
      </w:tblGrid>
      <w:tr w:rsidR="00EF316A">
        <w:trPr>
          <w:cantSplit/>
          <w:jc w:val="center"/>
        </w:trPr>
        <w:tc>
          <w:tcPr>
            <w:tcW w:w="4986" w:type="dxa"/>
            <w:tcBorders>
              <w:top w:val="single" w:sz="4" w:space="0" w:color="000000"/>
              <w:left w:val="single" w:sz="4" w:space="0" w:color="000000"/>
              <w:bottom w:val="single" w:sz="4" w:space="0" w:color="000000"/>
              <w:right w:val="single" w:sz="4" w:space="0" w:color="000000"/>
            </w:tcBorders>
          </w:tcPr>
          <w:p w:rsidR="00EF316A" w:rsidRDefault="00F6479F">
            <w:pPr>
              <w:widowControl w:val="0"/>
              <w:rPr>
                <w:rFonts w:ascii="Arial" w:hAnsi="Arial"/>
                <w:b/>
                <w:color w:val="000000"/>
                <w:sz w:val="24"/>
                <w:szCs w:val="24"/>
              </w:rPr>
            </w:pPr>
            <w:r>
              <w:rPr>
                <w:rFonts w:ascii="Arial" w:hAnsi="Arial"/>
                <w:b/>
                <w:color w:val="000000"/>
                <w:sz w:val="24"/>
                <w:szCs w:val="24"/>
              </w:rPr>
              <w:t>Valore/Fascia</w:t>
            </w:r>
          </w:p>
        </w:tc>
        <w:tc>
          <w:tcPr>
            <w:tcW w:w="4985" w:type="dxa"/>
            <w:tcBorders>
              <w:top w:val="single" w:sz="4" w:space="0" w:color="000000"/>
              <w:left w:val="single" w:sz="4" w:space="0" w:color="000000"/>
              <w:bottom w:val="single" w:sz="4" w:space="0" w:color="000000"/>
              <w:right w:val="single" w:sz="4" w:space="0" w:color="000000"/>
            </w:tcBorders>
          </w:tcPr>
          <w:p w:rsidR="00EF316A" w:rsidRDefault="00F6479F">
            <w:pPr>
              <w:widowControl w:val="0"/>
              <w:rPr>
                <w:rFonts w:ascii="Arial" w:hAnsi="Arial"/>
                <w:b/>
                <w:color w:val="000000"/>
                <w:sz w:val="24"/>
                <w:szCs w:val="24"/>
              </w:rPr>
            </w:pPr>
            <w:r>
              <w:rPr>
                <w:rFonts w:ascii="Arial" w:hAnsi="Arial"/>
                <w:b/>
                <w:color w:val="000000"/>
                <w:sz w:val="24"/>
                <w:szCs w:val="24"/>
              </w:rPr>
              <w:t>Punti</w:t>
            </w:r>
          </w:p>
        </w:tc>
      </w:tr>
      <w:tr w:rsidR="00EF316A">
        <w:trPr>
          <w:cantSplit/>
          <w:jc w:val="center"/>
        </w:trPr>
        <w:tc>
          <w:tcPr>
            <w:tcW w:w="4986" w:type="dxa"/>
            <w:tcBorders>
              <w:top w:val="single" w:sz="4" w:space="0" w:color="000000"/>
              <w:left w:val="single" w:sz="4" w:space="0" w:color="000000"/>
              <w:bottom w:val="single" w:sz="4" w:space="0" w:color="000000"/>
              <w:right w:val="single" w:sz="4" w:space="0" w:color="000000"/>
            </w:tcBorders>
          </w:tcPr>
          <w:p w:rsidR="00EF316A" w:rsidRDefault="00F6479F">
            <w:pPr>
              <w:widowControl w:val="0"/>
              <w:rPr>
                <w:rFonts w:ascii="Arial" w:hAnsi="Arial"/>
                <w:color w:val="000000"/>
                <w:sz w:val="24"/>
                <w:szCs w:val="24"/>
              </w:rPr>
            </w:pPr>
            <w:r>
              <w:rPr>
                <w:rFonts w:ascii="Arial" w:hAnsi="Arial"/>
                <w:color w:val="000000"/>
                <w:sz w:val="24"/>
                <w:szCs w:val="24"/>
              </w:rPr>
              <w:t>fino a € 16.000</w:t>
            </w:r>
          </w:p>
        </w:tc>
        <w:tc>
          <w:tcPr>
            <w:tcW w:w="4985" w:type="dxa"/>
            <w:tcBorders>
              <w:top w:val="single" w:sz="4" w:space="0" w:color="000000"/>
              <w:left w:val="single" w:sz="4" w:space="0" w:color="000000"/>
              <w:bottom w:val="single" w:sz="4" w:space="0" w:color="000000"/>
              <w:right w:val="single" w:sz="4" w:space="0" w:color="000000"/>
            </w:tcBorders>
          </w:tcPr>
          <w:p w:rsidR="00EF316A" w:rsidRDefault="00F6479F">
            <w:pPr>
              <w:widowControl w:val="0"/>
              <w:rPr>
                <w:rFonts w:ascii="Arial" w:hAnsi="Arial"/>
                <w:color w:val="000000"/>
                <w:sz w:val="24"/>
                <w:szCs w:val="24"/>
              </w:rPr>
            </w:pPr>
            <w:r>
              <w:rPr>
                <w:rFonts w:ascii="Arial" w:hAnsi="Arial"/>
                <w:color w:val="000000"/>
                <w:sz w:val="24"/>
                <w:szCs w:val="24"/>
              </w:rPr>
              <w:t>10</w:t>
            </w:r>
          </w:p>
        </w:tc>
      </w:tr>
      <w:tr w:rsidR="00EF316A">
        <w:trPr>
          <w:cantSplit/>
          <w:jc w:val="center"/>
        </w:trPr>
        <w:tc>
          <w:tcPr>
            <w:tcW w:w="4986" w:type="dxa"/>
            <w:tcBorders>
              <w:top w:val="single" w:sz="4" w:space="0" w:color="000000"/>
              <w:left w:val="single" w:sz="4" w:space="0" w:color="000000"/>
              <w:bottom w:val="single" w:sz="4" w:space="0" w:color="000000"/>
              <w:right w:val="single" w:sz="4" w:space="0" w:color="000000"/>
            </w:tcBorders>
          </w:tcPr>
          <w:p w:rsidR="00EF316A" w:rsidRDefault="00F6479F">
            <w:pPr>
              <w:widowControl w:val="0"/>
              <w:rPr>
                <w:rFonts w:ascii="Arial" w:hAnsi="Arial"/>
                <w:color w:val="000000"/>
                <w:sz w:val="24"/>
                <w:szCs w:val="24"/>
              </w:rPr>
            </w:pPr>
            <w:r>
              <w:rPr>
                <w:rFonts w:ascii="Arial" w:hAnsi="Arial"/>
                <w:color w:val="000000"/>
                <w:sz w:val="24"/>
                <w:szCs w:val="24"/>
              </w:rPr>
              <w:t>€ 16.000,01–18.000</w:t>
            </w:r>
          </w:p>
        </w:tc>
        <w:tc>
          <w:tcPr>
            <w:tcW w:w="4985" w:type="dxa"/>
            <w:tcBorders>
              <w:top w:val="single" w:sz="4" w:space="0" w:color="000000"/>
              <w:left w:val="single" w:sz="4" w:space="0" w:color="000000"/>
              <w:bottom w:val="single" w:sz="4" w:space="0" w:color="000000"/>
              <w:right w:val="single" w:sz="4" w:space="0" w:color="000000"/>
            </w:tcBorders>
          </w:tcPr>
          <w:p w:rsidR="00EF316A" w:rsidRDefault="00F6479F">
            <w:pPr>
              <w:widowControl w:val="0"/>
              <w:rPr>
                <w:rFonts w:ascii="Arial" w:hAnsi="Arial"/>
                <w:color w:val="000000"/>
                <w:sz w:val="24"/>
                <w:szCs w:val="24"/>
              </w:rPr>
            </w:pPr>
            <w:r>
              <w:rPr>
                <w:rFonts w:ascii="Arial" w:hAnsi="Arial"/>
                <w:color w:val="000000"/>
                <w:sz w:val="24"/>
                <w:szCs w:val="24"/>
              </w:rPr>
              <w:t>9</w:t>
            </w:r>
          </w:p>
        </w:tc>
      </w:tr>
      <w:tr w:rsidR="00EF316A">
        <w:trPr>
          <w:cantSplit/>
          <w:jc w:val="center"/>
        </w:trPr>
        <w:tc>
          <w:tcPr>
            <w:tcW w:w="4986" w:type="dxa"/>
            <w:tcBorders>
              <w:top w:val="single" w:sz="4" w:space="0" w:color="000000"/>
              <w:left w:val="single" w:sz="4" w:space="0" w:color="000000"/>
              <w:bottom w:val="single" w:sz="4" w:space="0" w:color="000000"/>
              <w:right w:val="single" w:sz="4" w:space="0" w:color="000000"/>
            </w:tcBorders>
          </w:tcPr>
          <w:p w:rsidR="00EF316A" w:rsidRDefault="00F6479F">
            <w:pPr>
              <w:widowControl w:val="0"/>
              <w:rPr>
                <w:rFonts w:ascii="Arial" w:hAnsi="Arial"/>
                <w:color w:val="000000"/>
                <w:sz w:val="24"/>
                <w:szCs w:val="24"/>
              </w:rPr>
            </w:pPr>
            <w:r>
              <w:rPr>
                <w:rFonts w:ascii="Arial" w:hAnsi="Arial"/>
                <w:color w:val="000000"/>
                <w:sz w:val="24"/>
                <w:szCs w:val="24"/>
              </w:rPr>
              <w:t xml:space="preserve">€ </w:t>
            </w:r>
            <w:r>
              <w:rPr>
                <w:rFonts w:ascii="Arial" w:hAnsi="Arial"/>
                <w:color w:val="000000"/>
                <w:sz w:val="24"/>
                <w:szCs w:val="24"/>
              </w:rPr>
              <w:t>18.000,01–20.000</w:t>
            </w:r>
          </w:p>
        </w:tc>
        <w:tc>
          <w:tcPr>
            <w:tcW w:w="4985" w:type="dxa"/>
            <w:tcBorders>
              <w:top w:val="single" w:sz="4" w:space="0" w:color="000000"/>
              <w:left w:val="single" w:sz="4" w:space="0" w:color="000000"/>
              <w:bottom w:val="single" w:sz="4" w:space="0" w:color="000000"/>
              <w:right w:val="single" w:sz="4" w:space="0" w:color="000000"/>
            </w:tcBorders>
          </w:tcPr>
          <w:p w:rsidR="00EF316A" w:rsidRDefault="00F6479F">
            <w:pPr>
              <w:widowControl w:val="0"/>
              <w:rPr>
                <w:rFonts w:ascii="Arial" w:hAnsi="Arial"/>
                <w:color w:val="000000"/>
                <w:sz w:val="24"/>
                <w:szCs w:val="24"/>
              </w:rPr>
            </w:pPr>
            <w:r>
              <w:rPr>
                <w:rFonts w:ascii="Arial" w:hAnsi="Arial"/>
                <w:color w:val="000000"/>
                <w:sz w:val="24"/>
                <w:szCs w:val="24"/>
              </w:rPr>
              <w:t>8</w:t>
            </w:r>
          </w:p>
        </w:tc>
      </w:tr>
      <w:tr w:rsidR="00EF316A">
        <w:trPr>
          <w:cantSplit/>
          <w:jc w:val="center"/>
        </w:trPr>
        <w:tc>
          <w:tcPr>
            <w:tcW w:w="4986" w:type="dxa"/>
            <w:tcBorders>
              <w:top w:val="single" w:sz="4" w:space="0" w:color="000000"/>
              <w:left w:val="single" w:sz="4" w:space="0" w:color="000000"/>
              <w:bottom w:val="single" w:sz="4" w:space="0" w:color="000000"/>
              <w:right w:val="single" w:sz="4" w:space="0" w:color="000000"/>
            </w:tcBorders>
          </w:tcPr>
          <w:p w:rsidR="00EF316A" w:rsidRDefault="00F6479F">
            <w:pPr>
              <w:widowControl w:val="0"/>
              <w:rPr>
                <w:rFonts w:ascii="Arial" w:hAnsi="Arial"/>
                <w:color w:val="000000"/>
                <w:sz w:val="24"/>
                <w:szCs w:val="24"/>
              </w:rPr>
            </w:pPr>
            <w:r>
              <w:rPr>
                <w:rFonts w:ascii="Arial" w:hAnsi="Arial"/>
                <w:color w:val="000000"/>
                <w:sz w:val="24"/>
                <w:szCs w:val="24"/>
              </w:rPr>
              <w:t>€ 20.000,01–22.000</w:t>
            </w:r>
          </w:p>
        </w:tc>
        <w:tc>
          <w:tcPr>
            <w:tcW w:w="4985" w:type="dxa"/>
            <w:tcBorders>
              <w:top w:val="single" w:sz="4" w:space="0" w:color="000000"/>
              <w:left w:val="single" w:sz="4" w:space="0" w:color="000000"/>
              <w:bottom w:val="single" w:sz="4" w:space="0" w:color="000000"/>
              <w:right w:val="single" w:sz="4" w:space="0" w:color="000000"/>
            </w:tcBorders>
          </w:tcPr>
          <w:p w:rsidR="00EF316A" w:rsidRDefault="00F6479F">
            <w:pPr>
              <w:widowControl w:val="0"/>
              <w:rPr>
                <w:rFonts w:ascii="Arial" w:hAnsi="Arial"/>
                <w:color w:val="000000"/>
                <w:sz w:val="24"/>
                <w:szCs w:val="24"/>
              </w:rPr>
            </w:pPr>
            <w:r>
              <w:rPr>
                <w:rFonts w:ascii="Arial" w:hAnsi="Arial"/>
                <w:color w:val="000000"/>
                <w:sz w:val="24"/>
                <w:szCs w:val="24"/>
              </w:rPr>
              <w:t>7</w:t>
            </w:r>
          </w:p>
        </w:tc>
      </w:tr>
      <w:tr w:rsidR="00EF316A">
        <w:trPr>
          <w:cantSplit/>
          <w:jc w:val="center"/>
        </w:trPr>
        <w:tc>
          <w:tcPr>
            <w:tcW w:w="4986" w:type="dxa"/>
            <w:tcBorders>
              <w:top w:val="single" w:sz="4" w:space="0" w:color="000000"/>
              <w:left w:val="single" w:sz="4" w:space="0" w:color="000000"/>
              <w:bottom w:val="single" w:sz="4" w:space="0" w:color="000000"/>
              <w:right w:val="single" w:sz="4" w:space="0" w:color="000000"/>
            </w:tcBorders>
          </w:tcPr>
          <w:p w:rsidR="00EF316A" w:rsidRDefault="00F6479F">
            <w:pPr>
              <w:widowControl w:val="0"/>
              <w:rPr>
                <w:rFonts w:ascii="Arial" w:hAnsi="Arial"/>
                <w:color w:val="000000"/>
                <w:sz w:val="24"/>
                <w:szCs w:val="24"/>
              </w:rPr>
            </w:pPr>
            <w:r>
              <w:rPr>
                <w:rFonts w:ascii="Arial" w:hAnsi="Arial"/>
                <w:color w:val="000000"/>
                <w:sz w:val="24"/>
                <w:szCs w:val="24"/>
              </w:rPr>
              <w:t>€ 22.000,01–24.000</w:t>
            </w:r>
          </w:p>
        </w:tc>
        <w:tc>
          <w:tcPr>
            <w:tcW w:w="4985" w:type="dxa"/>
            <w:tcBorders>
              <w:top w:val="single" w:sz="4" w:space="0" w:color="000000"/>
              <w:left w:val="single" w:sz="4" w:space="0" w:color="000000"/>
              <w:bottom w:val="single" w:sz="4" w:space="0" w:color="000000"/>
              <w:right w:val="single" w:sz="4" w:space="0" w:color="000000"/>
            </w:tcBorders>
          </w:tcPr>
          <w:p w:rsidR="00EF316A" w:rsidRDefault="00F6479F">
            <w:pPr>
              <w:widowControl w:val="0"/>
              <w:rPr>
                <w:rFonts w:ascii="Arial" w:hAnsi="Arial"/>
                <w:color w:val="000000"/>
                <w:sz w:val="24"/>
                <w:szCs w:val="24"/>
              </w:rPr>
            </w:pPr>
            <w:r>
              <w:rPr>
                <w:rFonts w:ascii="Arial" w:hAnsi="Arial"/>
                <w:color w:val="000000"/>
                <w:sz w:val="24"/>
                <w:szCs w:val="24"/>
              </w:rPr>
              <w:t>6</w:t>
            </w:r>
          </w:p>
        </w:tc>
      </w:tr>
      <w:tr w:rsidR="00EF316A">
        <w:trPr>
          <w:cantSplit/>
          <w:jc w:val="center"/>
        </w:trPr>
        <w:tc>
          <w:tcPr>
            <w:tcW w:w="4986" w:type="dxa"/>
            <w:tcBorders>
              <w:top w:val="single" w:sz="4" w:space="0" w:color="000000"/>
              <w:left w:val="single" w:sz="4" w:space="0" w:color="000000"/>
              <w:bottom w:val="single" w:sz="4" w:space="0" w:color="000000"/>
              <w:right w:val="single" w:sz="4" w:space="0" w:color="000000"/>
            </w:tcBorders>
          </w:tcPr>
          <w:p w:rsidR="00EF316A" w:rsidRDefault="00F6479F">
            <w:pPr>
              <w:widowControl w:val="0"/>
              <w:rPr>
                <w:rFonts w:ascii="Arial" w:hAnsi="Arial"/>
                <w:color w:val="000000"/>
                <w:sz w:val="24"/>
                <w:szCs w:val="24"/>
              </w:rPr>
            </w:pPr>
            <w:r>
              <w:rPr>
                <w:rFonts w:ascii="Arial" w:hAnsi="Arial"/>
                <w:color w:val="000000"/>
                <w:sz w:val="24"/>
                <w:szCs w:val="24"/>
              </w:rPr>
              <w:t>€ 24.000,01–26.000</w:t>
            </w:r>
          </w:p>
        </w:tc>
        <w:tc>
          <w:tcPr>
            <w:tcW w:w="4985" w:type="dxa"/>
            <w:tcBorders>
              <w:top w:val="single" w:sz="4" w:space="0" w:color="000000"/>
              <w:left w:val="single" w:sz="4" w:space="0" w:color="000000"/>
              <w:bottom w:val="single" w:sz="4" w:space="0" w:color="000000"/>
              <w:right w:val="single" w:sz="4" w:space="0" w:color="000000"/>
            </w:tcBorders>
          </w:tcPr>
          <w:p w:rsidR="00EF316A" w:rsidRDefault="00F6479F">
            <w:pPr>
              <w:widowControl w:val="0"/>
              <w:rPr>
                <w:rFonts w:ascii="Arial" w:hAnsi="Arial"/>
                <w:color w:val="000000"/>
                <w:sz w:val="24"/>
                <w:szCs w:val="24"/>
              </w:rPr>
            </w:pPr>
            <w:r>
              <w:rPr>
                <w:rFonts w:ascii="Arial" w:hAnsi="Arial"/>
                <w:color w:val="000000"/>
                <w:sz w:val="24"/>
                <w:szCs w:val="24"/>
              </w:rPr>
              <w:t>5</w:t>
            </w:r>
          </w:p>
        </w:tc>
      </w:tr>
      <w:tr w:rsidR="00EF316A">
        <w:trPr>
          <w:cantSplit/>
          <w:jc w:val="center"/>
        </w:trPr>
        <w:tc>
          <w:tcPr>
            <w:tcW w:w="4986" w:type="dxa"/>
            <w:tcBorders>
              <w:top w:val="single" w:sz="4" w:space="0" w:color="000000"/>
              <w:left w:val="single" w:sz="4" w:space="0" w:color="000000"/>
              <w:bottom w:val="single" w:sz="4" w:space="0" w:color="000000"/>
              <w:right w:val="single" w:sz="4" w:space="0" w:color="000000"/>
            </w:tcBorders>
          </w:tcPr>
          <w:p w:rsidR="00EF316A" w:rsidRDefault="00F6479F">
            <w:pPr>
              <w:widowControl w:val="0"/>
              <w:rPr>
                <w:rFonts w:ascii="Arial" w:hAnsi="Arial"/>
                <w:color w:val="000000"/>
                <w:sz w:val="24"/>
                <w:szCs w:val="24"/>
              </w:rPr>
            </w:pPr>
            <w:r>
              <w:rPr>
                <w:rFonts w:ascii="Arial" w:hAnsi="Arial"/>
                <w:color w:val="000000"/>
                <w:sz w:val="24"/>
                <w:szCs w:val="24"/>
              </w:rPr>
              <w:t>€ 26.000,01–28.000</w:t>
            </w:r>
          </w:p>
        </w:tc>
        <w:tc>
          <w:tcPr>
            <w:tcW w:w="4985" w:type="dxa"/>
            <w:tcBorders>
              <w:top w:val="single" w:sz="4" w:space="0" w:color="000000"/>
              <w:left w:val="single" w:sz="4" w:space="0" w:color="000000"/>
              <w:bottom w:val="single" w:sz="4" w:space="0" w:color="000000"/>
              <w:right w:val="single" w:sz="4" w:space="0" w:color="000000"/>
            </w:tcBorders>
          </w:tcPr>
          <w:p w:rsidR="00EF316A" w:rsidRDefault="00F6479F">
            <w:pPr>
              <w:widowControl w:val="0"/>
              <w:rPr>
                <w:rFonts w:ascii="Arial" w:hAnsi="Arial"/>
                <w:color w:val="000000"/>
                <w:sz w:val="24"/>
                <w:szCs w:val="24"/>
              </w:rPr>
            </w:pPr>
            <w:r>
              <w:rPr>
                <w:rFonts w:ascii="Arial" w:hAnsi="Arial"/>
                <w:color w:val="000000"/>
                <w:sz w:val="24"/>
                <w:szCs w:val="24"/>
              </w:rPr>
              <w:t>4</w:t>
            </w:r>
          </w:p>
        </w:tc>
      </w:tr>
      <w:tr w:rsidR="00EF316A">
        <w:trPr>
          <w:cantSplit/>
          <w:jc w:val="center"/>
        </w:trPr>
        <w:tc>
          <w:tcPr>
            <w:tcW w:w="4986" w:type="dxa"/>
            <w:tcBorders>
              <w:top w:val="single" w:sz="4" w:space="0" w:color="000000"/>
              <w:left w:val="single" w:sz="4" w:space="0" w:color="000000"/>
              <w:bottom w:val="single" w:sz="4" w:space="0" w:color="000000"/>
              <w:right w:val="single" w:sz="4" w:space="0" w:color="000000"/>
            </w:tcBorders>
          </w:tcPr>
          <w:p w:rsidR="00EF316A" w:rsidRDefault="00F6479F">
            <w:pPr>
              <w:widowControl w:val="0"/>
              <w:rPr>
                <w:rFonts w:ascii="Arial" w:hAnsi="Arial"/>
                <w:color w:val="000000"/>
                <w:sz w:val="24"/>
                <w:szCs w:val="24"/>
              </w:rPr>
            </w:pPr>
            <w:r>
              <w:rPr>
                <w:rFonts w:ascii="Arial" w:hAnsi="Arial"/>
                <w:color w:val="000000"/>
                <w:sz w:val="24"/>
                <w:szCs w:val="24"/>
              </w:rPr>
              <w:t>€ 28.000,01–30.000</w:t>
            </w:r>
          </w:p>
        </w:tc>
        <w:tc>
          <w:tcPr>
            <w:tcW w:w="4985" w:type="dxa"/>
            <w:tcBorders>
              <w:top w:val="single" w:sz="4" w:space="0" w:color="000000"/>
              <w:left w:val="single" w:sz="4" w:space="0" w:color="000000"/>
              <w:bottom w:val="single" w:sz="4" w:space="0" w:color="000000"/>
              <w:right w:val="single" w:sz="4" w:space="0" w:color="000000"/>
            </w:tcBorders>
          </w:tcPr>
          <w:p w:rsidR="00EF316A" w:rsidRDefault="00F6479F">
            <w:pPr>
              <w:widowControl w:val="0"/>
              <w:rPr>
                <w:rFonts w:ascii="Arial" w:hAnsi="Arial"/>
                <w:color w:val="000000"/>
                <w:sz w:val="24"/>
                <w:szCs w:val="24"/>
              </w:rPr>
            </w:pPr>
            <w:r>
              <w:rPr>
                <w:rFonts w:ascii="Arial" w:hAnsi="Arial"/>
                <w:color w:val="000000"/>
                <w:sz w:val="24"/>
                <w:szCs w:val="24"/>
              </w:rPr>
              <w:t>3</w:t>
            </w:r>
          </w:p>
        </w:tc>
      </w:tr>
      <w:tr w:rsidR="00EF316A">
        <w:trPr>
          <w:cantSplit/>
          <w:jc w:val="center"/>
        </w:trPr>
        <w:tc>
          <w:tcPr>
            <w:tcW w:w="4986" w:type="dxa"/>
            <w:tcBorders>
              <w:top w:val="single" w:sz="4" w:space="0" w:color="000000"/>
              <w:left w:val="single" w:sz="4" w:space="0" w:color="000000"/>
              <w:bottom w:val="single" w:sz="4" w:space="0" w:color="000000"/>
              <w:right w:val="single" w:sz="4" w:space="0" w:color="000000"/>
            </w:tcBorders>
          </w:tcPr>
          <w:p w:rsidR="00EF316A" w:rsidRDefault="00F6479F">
            <w:pPr>
              <w:widowControl w:val="0"/>
              <w:rPr>
                <w:rFonts w:ascii="Arial" w:hAnsi="Arial"/>
                <w:color w:val="000000"/>
                <w:sz w:val="24"/>
                <w:szCs w:val="24"/>
              </w:rPr>
            </w:pPr>
            <w:r>
              <w:rPr>
                <w:rFonts w:ascii="Arial" w:hAnsi="Arial"/>
                <w:color w:val="000000"/>
                <w:sz w:val="24"/>
                <w:szCs w:val="24"/>
              </w:rPr>
              <w:t>€ 30.000,01–32.000</w:t>
            </w:r>
          </w:p>
        </w:tc>
        <w:tc>
          <w:tcPr>
            <w:tcW w:w="4985" w:type="dxa"/>
            <w:tcBorders>
              <w:top w:val="single" w:sz="4" w:space="0" w:color="000000"/>
              <w:left w:val="single" w:sz="4" w:space="0" w:color="000000"/>
              <w:bottom w:val="single" w:sz="4" w:space="0" w:color="000000"/>
              <w:right w:val="single" w:sz="4" w:space="0" w:color="000000"/>
            </w:tcBorders>
          </w:tcPr>
          <w:p w:rsidR="00EF316A" w:rsidRDefault="00F6479F">
            <w:pPr>
              <w:widowControl w:val="0"/>
              <w:rPr>
                <w:rFonts w:ascii="Arial" w:hAnsi="Arial"/>
                <w:color w:val="000000"/>
                <w:sz w:val="24"/>
                <w:szCs w:val="24"/>
              </w:rPr>
            </w:pPr>
            <w:r>
              <w:rPr>
                <w:rFonts w:ascii="Arial" w:hAnsi="Arial"/>
                <w:color w:val="000000"/>
                <w:sz w:val="24"/>
                <w:szCs w:val="24"/>
              </w:rPr>
              <w:t>2</w:t>
            </w:r>
          </w:p>
        </w:tc>
      </w:tr>
      <w:tr w:rsidR="00EF316A">
        <w:trPr>
          <w:cantSplit/>
          <w:jc w:val="center"/>
        </w:trPr>
        <w:tc>
          <w:tcPr>
            <w:tcW w:w="4986" w:type="dxa"/>
            <w:tcBorders>
              <w:top w:val="single" w:sz="4" w:space="0" w:color="000000"/>
              <w:left w:val="single" w:sz="4" w:space="0" w:color="000000"/>
              <w:bottom w:val="single" w:sz="4" w:space="0" w:color="000000"/>
              <w:right w:val="single" w:sz="4" w:space="0" w:color="000000"/>
            </w:tcBorders>
          </w:tcPr>
          <w:p w:rsidR="00EF316A" w:rsidRDefault="00F6479F">
            <w:pPr>
              <w:widowControl w:val="0"/>
              <w:rPr>
                <w:rFonts w:ascii="Arial" w:hAnsi="Arial"/>
                <w:color w:val="000000"/>
                <w:sz w:val="24"/>
                <w:szCs w:val="24"/>
              </w:rPr>
            </w:pPr>
            <w:r>
              <w:rPr>
                <w:rFonts w:ascii="Arial" w:hAnsi="Arial"/>
                <w:color w:val="000000"/>
                <w:sz w:val="24"/>
                <w:szCs w:val="24"/>
              </w:rPr>
              <w:t>€ 32.000,01–34.000</w:t>
            </w:r>
          </w:p>
        </w:tc>
        <w:tc>
          <w:tcPr>
            <w:tcW w:w="4985" w:type="dxa"/>
            <w:tcBorders>
              <w:top w:val="single" w:sz="4" w:space="0" w:color="000000"/>
              <w:left w:val="single" w:sz="4" w:space="0" w:color="000000"/>
              <w:bottom w:val="single" w:sz="4" w:space="0" w:color="000000"/>
              <w:right w:val="single" w:sz="4" w:space="0" w:color="000000"/>
            </w:tcBorders>
          </w:tcPr>
          <w:p w:rsidR="00EF316A" w:rsidRDefault="00F6479F">
            <w:pPr>
              <w:widowControl w:val="0"/>
              <w:rPr>
                <w:rFonts w:ascii="Arial" w:hAnsi="Arial"/>
                <w:color w:val="000000"/>
                <w:sz w:val="24"/>
                <w:szCs w:val="24"/>
              </w:rPr>
            </w:pPr>
            <w:r>
              <w:rPr>
                <w:rFonts w:ascii="Arial" w:hAnsi="Arial"/>
                <w:color w:val="000000"/>
                <w:sz w:val="24"/>
                <w:szCs w:val="24"/>
              </w:rPr>
              <w:t>1</w:t>
            </w:r>
          </w:p>
        </w:tc>
      </w:tr>
      <w:tr w:rsidR="00EF316A">
        <w:trPr>
          <w:cantSplit/>
          <w:jc w:val="center"/>
        </w:trPr>
        <w:tc>
          <w:tcPr>
            <w:tcW w:w="4986" w:type="dxa"/>
            <w:tcBorders>
              <w:top w:val="single" w:sz="4" w:space="0" w:color="000000"/>
              <w:left w:val="single" w:sz="4" w:space="0" w:color="000000"/>
              <w:bottom w:val="single" w:sz="4" w:space="0" w:color="000000"/>
              <w:right w:val="single" w:sz="4" w:space="0" w:color="000000"/>
            </w:tcBorders>
          </w:tcPr>
          <w:p w:rsidR="00EF316A" w:rsidRDefault="00F6479F">
            <w:pPr>
              <w:widowControl w:val="0"/>
              <w:rPr>
                <w:rFonts w:ascii="Arial" w:hAnsi="Arial"/>
                <w:color w:val="000000"/>
                <w:sz w:val="24"/>
                <w:szCs w:val="24"/>
              </w:rPr>
            </w:pPr>
            <w:r>
              <w:rPr>
                <w:rFonts w:ascii="Arial" w:hAnsi="Arial"/>
                <w:color w:val="000000"/>
                <w:sz w:val="24"/>
                <w:szCs w:val="24"/>
              </w:rPr>
              <w:t>oltre € 34.000 o ISEE non prodotto</w:t>
            </w:r>
          </w:p>
        </w:tc>
        <w:tc>
          <w:tcPr>
            <w:tcW w:w="4985" w:type="dxa"/>
            <w:tcBorders>
              <w:top w:val="single" w:sz="4" w:space="0" w:color="000000"/>
              <w:left w:val="single" w:sz="4" w:space="0" w:color="000000"/>
              <w:bottom w:val="single" w:sz="4" w:space="0" w:color="000000"/>
              <w:right w:val="single" w:sz="4" w:space="0" w:color="000000"/>
            </w:tcBorders>
          </w:tcPr>
          <w:p w:rsidR="00EF316A" w:rsidRDefault="00F6479F">
            <w:pPr>
              <w:widowControl w:val="0"/>
              <w:rPr>
                <w:rFonts w:ascii="Arial" w:hAnsi="Arial"/>
                <w:color w:val="000000"/>
                <w:sz w:val="24"/>
                <w:szCs w:val="24"/>
              </w:rPr>
            </w:pPr>
            <w:r>
              <w:rPr>
                <w:rFonts w:ascii="Arial" w:hAnsi="Arial"/>
                <w:color w:val="000000"/>
                <w:sz w:val="24"/>
                <w:szCs w:val="24"/>
              </w:rPr>
              <w:t>0</w:t>
            </w:r>
          </w:p>
        </w:tc>
      </w:tr>
    </w:tbl>
    <w:p w:rsidR="00EF316A" w:rsidRDefault="00EF316A">
      <w:pPr>
        <w:jc w:val="both"/>
        <w:rPr>
          <w:rFonts w:ascii="Arial" w:hAnsi="Arial"/>
          <w:color w:val="000000"/>
          <w:sz w:val="24"/>
          <w:szCs w:val="24"/>
        </w:rPr>
      </w:pPr>
    </w:p>
    <w:p w:rsidR="00EF316A" w:rsidRDefault="00F6479F">
      <w:pPr>
        <w:jc w:val="both"/>
        <w:rPr>
          <w:rFonts w:ascii="Arial" w:hAnsi="Arial"/>
          <w:color w:val="000000"/>
          <w:sz w:val="24"/>
          <w:szCs w:val="24"/>
        </w:rPr>
      </w:pPr>
      <w:r>
        <w:rPr>
          <w:rFonts w:ascii="Arial" w:hAnsi="Arial"/>
          <w:b/>
          <w:color w:val="000000"/>
          <w:sz w:val="24"/>
          <w:szCs w:val="24"/>
        </w:rPr>
        <w:t xml:space="preserve">Punteggi sociali proposti: </w:t>
      </w:r>
      <w:r>
        <w:rPr>
          <w:rFonts w:ascii="Arial" w:hAnsi="Arial"/>
          <w:color w:val="000000"/>
          <w:sz w:val="24"/>
          <w:szCs w:val="24"/>
        </w:rPr>
        <w:t xml:space="preserve">orfano di un </w:t>
      </w:r>
      <w:r>
        <w:rPr>
          <w:rFonts w:ascii="Arial" w:hAnsi="Arial"/>
          <w:color w:val="000000"/>
          <w:sz w:val="24"/>
          <w:szCs w:val="24"/>
        </w:rPr>
        <w:t>genitore +4 punti; orfano di entrambi i genitori +6 punti, non cumulabili. Ulteriori condizioni familiari o di disabilità possono attribuire punteggio solo se definite preventivamente con criteri oggettivi, proporzionati e rispettosi della privacy. La mera</w:t>
      </w:r>
      <w:r>
        <w:rPr>
          <w:rFonts w:ascii="Arial" w:hAnsi="Arial"/>
          <w:color w:val="000000"/>
          <w:sz w:val="24"/>
          <w:szCs w:val="24"/>
        </w:rPr>
        <w:t xml:space="preserve"> separazione dei genitori non attribuisce automaticamente punteggio.</w:t>
      </w:r>
    </w:p>
    <w:p w:rsidR="00EF316A" w:rsidRDefault="00F6479F">
      <w:pPr>
        <w:jc w:val="both"/>
        <w:rPr>
          <w:rFonts w:ascii="Arial" w:hAnsi="Arial"/>
          <w:color w:val="000000"/>
          <w:sz w:val="24"/>
          <w:szCs w:val="24"/>
        </w:rPr>
      </w:pPr>
      <w:r>
        <w:rPr>
          <w:rFonts w:ascii="Arial" w:hAnsi="Arial"/>
          <w:color w:val="000000"/>
          <w:sz w:val="24"/>
          <w:szCs w:val="24"/>
        </w:rPr>
        <w:t xml:space="preserve">Per beneficiare dei punteggi aggiuntivi l’interessato dovrà produrre idonea certificazione dimostrativa. </w:t>
      </w:r>
    </w:p>
    <w:p w:rsidR="00EF316A" w:rsidRDefault="00F6479F">
      <w:pPr>
        <w:pStyle w:val="Titolo1"/>
        <w:jc w:val="both"/>
        <w:rPr>
          <w:rFonts w:ascii="Arial" w:hAnsi="Arial"/>
          <w:color w:val="000000"/>
          <w:sz w:val="24"/>
          <w:szCs w:val="24"/>
        </w:rPr>
      </w:pPr>
      <w:r>
        <w:rPr>
          <w:rFonts w:ascii="Arial" w:hAnsi="Arial"/>
          <w:color w:val="000000"/>
          <w:sz w:val="24"/>
          <w:szCs w:val="24"/>
        </w:rPr>
        <w:t xml:space="preserve">Art. </w:t>
      </w:r>
      <w:r>
        <w:rPr>
          <w:rFonts w:ascii="Arial" w:hAnsi="Arial"/>
          <w:color w:val="000000"/>
          <w:sz w:val="24"/>
          <w:szCs w:val="24"/>
        </w:rPr>
        <w:t>9</w:t>
      </w:r>
      <w:r>
        <w:rPr>
          <w:rFonts w:ascii="Arial" w:hAnsi="Arial"/>
          <w:color w:val="000000"/>
          <w:sz w:val="24"/>
          <w:szCs w:val="24"/>
        </w:rPr>
        <w:t xml:space="preserve"> – Parità di punteggio e unicità della borsa</w:t>
      </w:r>
    </w:p>
    <w:p w:rsidR="00EF316A" w:rsidRDefault="00F6479F">
      <w:pPr>
        <w:jc w:val="both"/>
        <w:rPr>
          <w:rFonts w:ascii="Arial" w:hAnsi="Arial"/>
          <w:color w:val="000000"/>
          <w:sz w:val="24"/>
          <w:szCs w:val="24"/>
        </w:rPr>
      </w:pPr>
      <w:r>
        <w:rPr>
          <w:rFonts w:ascii="Arial" w:hAnsi="Arial"/>
          <w:color w:val="000000"/>
          <w:sz w:val="24"/>
          <w:szCs w:val="24"/>
        </w:rPr>
        <w:t>In caso di parità di punteggio</w:t>
      </w:r>
      <w:r>
        <w:rPr>
          <w:rFonts w:ascii="Arial" w:hAnsi="Arial"/>
          <w:color w:val="000000"/>
          <w:sz w:val="24"/>
          <w:szCs w:val="24"/>
        </w:rPr>
        <w:t>, in favore dei concorrenti orfani e disabili, come definiti dalla legge 4 febbraio 1992, n. 104, art. 3, comma 1 e 3, è riconosciuto un diritto di precedenza assoluta al conseguimento della borsa di studio. Negli altri casi, il valore della borsa di studi</w:t>
      </w:r>
      <w:r>
        <w:rPr>
          <w:rFonts w:ascii="Arial" w:hAnsi="Arial"/>
          <w:color w:val="000000"/>
          <w:sz w:val="24"/>
          <w:szCs w:val="24"/>
        </w:rPr>
        <w:t xml:space="preserve">o verrà equamente suddiviso tra i primi della graduatoria che hanno pari punteggio </w:t>
      </w:r>
    </w:p>
    <w:p w:rsidR="00EF316A" w:rsidRDefault="00F6479F">
      <w:pPr>
        <w:jc w:val="both"/>
        <w:rPr>
          <w:rFonts w:ascii="Arial" w:hAnsi="Arial"/>
          <w:color w:val="000000"/>
          <w:sz w:val="24"/>
          <w:szCs w:val="24"/>
        </w:rPr>
      </w:pPr>
      <w:r>
        <w:rPr>
          <w:rFonts w:ascii="Arial" w:hAnsi="Arial"/>
          <w:color w:val="000000"/>
          <w:sz w:val="24"/>
          <w:szCs w:val="24"/>
        </w:rPr>
        <w:t>In caso di parità prevale, ove applicabile, il maggiore punteggio scolastico; successivamente il minor ISEE valido; in ulteriore parità si procede mediante sorteggio verbal</w:t>
      </w:r>
      <w:r>
        <w:rPr>
          <w:rFonts w:ascii="Arial" w:hAnsi="Arial"/>
          <w:color w:val="000000"/>
          <w:sz w:val="24"/>
          <w:szCs w:val="24"/>
        </w:rPr>
        <w:t>izzato. Per la Categoria A si applicano il minor ISEE e, in ulteriore parità, il sorteggio verbalizzato. Se più componenti dello stesso nucleo familiare risultano potenziali vincitori, il rappresentante del nucleo familiare indica entro il</w:t>
      </w:r>
      <w:r>
        <w:rPr>
          <w:rFonts w:ascii="Arial" w:hAnsi="Arial"/>
          <w:b/>
          <w:bCs/>
          <w:color w:val="000000"/>
          <w:sz w:val="24"/>
          <w:szCs w:val="24"/>
        </w:rPr>
        <w:t xml:space="preserve"> 10.12.2026 </w:t>
      </w:r>
      <w:r>
        <w:rPr>
          <w:rFonts w:ascii="Arial" w:hAnsi="Arial"/>
          <w:color w:val="000000"/>
          <w:sz w:val="24"/>
          <w:szCs w:val="24"/>
        </w:rPr>
        <w:t>qua</w:t>
      </w:r>
      <w:r>
        <w:rPr>
          <w:rFonts w:ascii="Arial" w:hAnsi="Arial"/>
          <w:color w:val="000000"/>
          <w:sz w:val="24"/>
          <w:szCs w:val="24"/>
        </w:rPr>
        <w:t>le</w:t>
      </w:r>
      <w:r>
        <w:rPr>
          <w:rFonts w:ascii="Arial" w:hAnsi="Arial"/>
          <w:color w:val="000000"/>
          <w:sz w:val="24"/>
          <w:szCs w:val="24"/>
        </w:rPr>
        <w:t xml:space="preserve"> borsa intende accettare. In assenza di scelta è attribuita la borsa di importo più elevato; il posto liberato è assegnato mediante scorrimento della relativa graduatoria.</w:t>
      </w:r>
    </w:p>
    <w:p w:rsidR="00EF316A" w:rsidRDefault="00F6479F">
      <w:pPr>
        <w:pStyle w:val="Titolo1"/>
        <w:rPr>
          <w:rFonts w:ascii="Arial" w:hAnsi="Arial"/>
          <w:color w:val="000000"/>
          <w:sz w:val="24"/>
          <w:szCs w:val="24"/>
        </w:rPr>
      </w:pPr>
      <w:r>
        <w:rPr>
          <w:rFonts w:ascii="Arial" w:hAnsi="Arial"/>
          <w:color w:val="000000"/>
          <w:sz w:val="24"/>
          <w:szCs w:val="24"/>
        </w:rPr>
        <w:t xml:space="preserve">Art. </w:t>
      </w:r>
      <w:r>
        <w:rPr>
          <w:rFonts w:ascii="Arial" w:hAnsi="Arial"/>
          <w:color w:val="000000"/>
          <w:sz w:val="24"/>
          <w:szCs w:val="24"/>
        </w:rPr>
        <w:t>10</w:t>
      </w:r>
      <w:r>
        <w:rPr>
          <w:rFonts w:ascii="Arial" w:hAnsi="Arial"/>
          <w:color w:val="000000"/>
          <w:sz w:val="24"/>
          <w:szCs w:val="24"/>
        </w:rPr>
        <w:t xml:space="preserve"> – Commissione e formazione delle graduatorie</w:t>
      </w:r>
    </w:p>
    <w:p w:rsidR="00EF316A" w:rsidRDefault="00F6479F">
      <w:pPr>
        <w:jc w:val="both"/>
        <w:rPr>
          <w:rFonts w:ascii="Arial" w:hAnsi="Arial"/>
          <w:color w:val="000000"/>
          <w:sz w:val="24"/>
          <w:szCs w:val="24"/>
        </w:rPr>
      </w:pPr>
      <w:r>
        <w:rPr>
          <w:rFonts w:ascii="Arial" w:hAnsi="Arial"/>
          <w:color w:val="000000"/>
          <w:sz w:val="24"/>
          <w:szCs w:val="24"/>
        </w:rPr>
        <w:t>La Segreteria nazionale nomina,</w:t>
      </w:r>
      <w:r>
        <w:rPr>
          <w:rFonts w:ascii="Arial" w:hAnsi="Arial"/>
          <w:color w:val="000000"/>
          <w:sz w:val="24"/>
          <w:szCs w:val="24"/>
        </w:rPr>
        <w:t xml:space="preserve"> prima dell’esame delle domande, una commissione incaricata dell’istruttoria, dell’attribuzione dei punteggi e della verbalizzazione delle operazioni. I componenti dichiarano l’assenza di conflitti di interesse o, se presenti, si astengono nei casi interes</w:t>
      </w:r>
      <w:r>
        <w:rPr>
          <w:rFonts w:ascii="Arial" w:hAnsi="Arial"/>
          <w:color w:val="000000"/>
          <w:sz w:val="24"/>
          <w:szCs w:val="24"/>
        </w:rPr>
        <w:t>sati. Le graduatorie provvisorie sono comunicate individualmente oppure pubblicate mediante codici identificativi non direttamente riconducibili ai candidati minorenni. Non sono pubblicati ISEE, dati sanitari o altre informazioni familiari sensibili. Le gr</w:t>
      </w:r>
      <w:r>
        <w:rPr>
          <w:rFonts w:ascii="Arial" w:hAnsi="Arial"/>
          <w:color w:val="000000"/>
          <w:sz w:val="24"/>
          <w:szCs w:val="24"/>
        </w:rPr>
        <w:t xml:space="preserve">aduatorie definitive sono approvate dalla Segreteria nazionale entro </w:t>
      </w:r>
      <w:r>
        <w:rPr>
          <w:rFonts w:ascii="Arial" w:hAnsi="Arial"/>
          <w:b/>
          <w:bCs/>
          <w:color w:val="000000"/>
          <w:sz w:val="24"/>
          <w:szCs w:val="24"/>
        </w:rPr>
        <w:t>30.11.2026</w:t>
      </w:r>
      <w:r>
        <w:rPr>
          <w:rFonts w:ascii="Arial" w:hAnsi="Arial"/>
          <w:color w:val="000000"/>
          <w:sz w:val="24"/>
          <w:szCs w:val="24"/>
        </w:rPr>
        <w:t>.</w:t>
      </w:r>
    </w:p>
    <w:p w:rsidR="00EF316A" w:rsidRDefault="00F6479F">
      <w:pPr>
        <w:pStyle w:val="Titolo1"/>
        <w:rPr>
          <w:rFonts w:ascii="Arial" w:hAnsi="Arial"/>
          <w:color w:val="000000"/>
          <w:sz w:val="24"/>
          <w:szCs w:val="24"/>
        </w:rPr>
      </w:pPr>
      <w:r>
        <w:rPr>
          <w:rFonts w:ascii="Arial" w:hAnsi="Arial"/>
          <w:color w:val="000000"/>
          <w:sz w:val="24"/>
          <w:szCs w:val="24"/>
        </w:rPr>
        <w:t>Art. 1</w:t>
      </w:r>
      <w:r>
        <w:rPr>
          <w:rFonts w:ascii="Arial" w:hAnsi="Arial"/>
          <w:color w:val="000000"/>
          <w:sz w:val="24"/>
          <w:szCs w:val="24"/>
        </w:rPr>
        <w:t>1</w:t>
      </w:r>
      <w:r>
        <w:rPr>
          <w:rFonts w:ascii="Arial" w:hAnsi="Arial"/>
          <w:color w:val="000000"/>
          <w:sz w:val="24"/>
          <w:szCs w:val="24"/>
        </w:rPr>
        <w:t xml:space="preserve"> – Riesame</w:t>
      </w:r>
    </w:p>
    <w:p w:rsidR="00EF316A" w:rsidRDefault="00F6479F">
      <w:pPr>
        <w:jc w:val="both"/>
        <w:rPr>
          <w:rFonts w:ascii="Arial" w:hAnsi="Arial"/>
          <w:color w:val="000000"/>
          <w:sz w:val="24"/>
          <w:szCs w:val="24"/>
        </w:rPr>
      </w:pPr>
      <w:r>
        <w:rPr>
          <w:rFonts w:ascii="Arial" w:hAnsi="Arial"/>
          <w:color w:val="000000"/>
          <w:sz w:val="24"/>
          <w:szCs w:val="24"/>
        </w:rPr>
        <w:t xml:space="preserve">Avverso la graduatoria provvisoria può essere presentata richiesta motivata di riesame tramite PEC entro il </w:t>
      </w:r>
      <w:r>
        <w:rPr>
          <w:rFonts w:ascii="Arial" w:hAnsi="Arial"/>
          <w:b/>
          <w:bCs/>
          <w:color w:val="000000"/>
          <w:sz w:val="24"/>
          <w:szCs w:val="24"/>
        </w:rPr>
        <w:t>07.12.2026</w:t>
      </w:r>
      <w:r>
        <w:rPr>
          <w:rFonts w:ascii="Arial" w:hAnsi="Arial"/>
          <w:color w:val="000000"/>
          <w:sz w:val="24"/>
          <w:szCs w:val="24"/>
        </w:rPr>
        <w:t xml:space="preserve"> dalla relativa comunicazione o pubblic</w:t>
      </w:r>
      <w:r>
        <w:rPr>
          <w:rFonts w:ascii="Arial" w:hAnsi="Arial"/>
          <w:color w:val="000000"/>
          <w:sz w:val="24"/>
          <w:szCs w:val="24"/>
        </w:rPr>
        <w:t>azione. La commissione esamina le istanze, ne verbalizza e motiva l’esito e formula la proposta di graduatoria definitiva alla Segreteria nazionale. Restano salvi i rimedi previsti dall’ordinamento.</w:t>
      </w:r>
    </w:p>
    <w:p w:rsidR="00EF316A" w:rsidRDefault="00F6479F">
      <w:pPr>
        <w:pStyle w:val="Titolo1"/>
        <w:jc w:val="both"/>
        <w:rPr>
          <w:rFonts w:ascii="Arial" w:hAnsi="Arial"/>
          <w:color w:val="000000"/>
          <w:sz w:val="24"/>
          <w:szCs w:val="24"/>
        </w:rPr>
      </w:pPr>
      <w:r>
        <w:rPr>
          <w:rFonts w:ascii="Arial" w:hAnsi="Arial"/>
          <w:color w:val="000000"/>
          <w:sz w:val="24"/>
          <w:szCs w:val="24"/>
        </w:rPr>
        <w:t>Art. 12 – Verifiche, decadenza e pagamento</w:t>
      </w:r>
    </w:p>
    <w:p w:rsidR="00EF316A" w:rsidRDefault="00F6479F">
      <w:pPr>
        <w:jc w:val="both"/>
        <w:rPr>
          <w:rFonts w:ascii="Arial" w:hAnsi="Arial"/>
          <w:color w:val="000000"/>
          <w:sz w:val="24"/>
          <w:szCs w:val="24"/>
        </w:rPr>
      </w:pPr>
      <w:r>
        <w:rPr>
          <w:rFonts w:ascii="Arial" w:hAnsi="Arial"/>
          <w:color w:val="000000"/>
          <w:sz w:val="24"/>
          <w:szCs w:val="24"/>
        </w:rPr>
        <w:t>Il SILF può ef</w:t>
      </w:r>
      <w:r>
        <w:rPr>
          <w:rFonts w:ascii="Arial" w:hAnsi="Arial"/>
          <w:color w:val="000000"/>
          <w:sz w:val="24"/>
          <w:szCs w:val="24"/>
        </w:rPr>
        <w:t xml:space="preserve">fettuare verifiche sulla veridicità delle dichiarazioni rese, nel rispetto della disciplina applicabile alle associazioni private e della normativa in materia di protezione dei dati personali. Dichiarazioni non veritiere o perdita dei requisiti comportano </w:t>
      </w:r>
      <w:r>
        <w:rPr>
          <w:rFonts w:ascii="Arial" w:hAnsi="Arial"/>
          <w:color w:val="000000"/>
          <w:sz w:val="24"/>
          <w:szCs w:val="24"/>
        </w:rPr>
        <w:t>l’esclusione o la decadenza dal beneficio, previa contestazione e possibilità di fornire chiarimenti, ferme le ulteriori responsabilità previste dalla legge. Il pagamento è effettuato mediante bonifico sull’IBAN comunicato dal vincitore o dal suo legale ra</w:t>
      </w:r>
      <w:r>
        <w:rPr>
          <w:rFonts w:ascii="Arial" w:hAnsi="Arial"/>
          <w:color w:val="000000"/>
          <w:sz w:val="24"/>
          <w:szCs w:val="24"/>
        </w:rPr>
        <w:t>ppresentante. Il trattamento fiscale delle somme è verificato prima dell’erogazione.</w:t>
      </w:r>
    </w:p>
    <w:p w:rsidR="00EF316A" w:rsidRDefault="00F6479F">
      <w:pPr>
        <w:jc w:val="both"/>
        <w:rPr>
          <w:rFonts w:ascii="Arial" w:hAnsi="Arial"/>
          <w:color w:val="000000"/>
          <w:sz w:val="24"/>
          <w:szCs w:val="24"/>
        </w:rPr>
      </w:pPr>
      <w:r>
        <w:rPr>
          <w:rFonts w:ascii="Arial" w:hAnsi="Arial"/>
          <w:color w:val="000000"/>
          <w:sz w:val="24"/>
          <w:szCs w:val="24"/>
        </w:rPr>
        <w:t>Per eventuali controversie il Foro competente è quello di Roma.</w:t>
      </w:r>
    </w:p>
    <w:p w:rsidR="00EF316A" w:rsidRDefault="00F6479F">
      <w:pPr>
        <w:pStyle w:val="Titolo1"/>
        <w:jc w:val="both"/>
        <w:rPr>
          <w:rFonts w:ascii="Arial" w:hAnsi="Arial"/>
          <w:color w:val="000000"/>
          <w:sz w:val="24"/>
          <w:szCs w:val="24"/>
        </w:rPr>
      </w:pPr>
      <w:r>
        <w:rPr>
          <w:rFonts w:ascii="Arial" w:hAnsi="Arial"/>
          <w:color w:val="000000"/>
          <w:sz w:val="24"/>
          <w:szCs w:val="24"/>
        </w:rPr>
        <w:t>Art. 1</w:t>
      </w:r>
      <w:r>
        <w:rPr>
          <w:rFonts w:ascii="Arial" w:hAnsi="Arial"/>
          <w:color w:val="000000"/>
          <w:sz w:val="24"/>
          <w:szCs w:val="24"/>
        </w:rPr>
        <w:t>3</w:t>
      </w:r>
      <w:r>
        <w:rPr>
          <w:rFonts w:ascii="Arial" w:hAnsi="Arial"/>
          <w:color w:val="000000"/>
          <w:sz w:val="24"/>
          <w:szCs w:val="24"/>
        </w:rPr>
        <w:t xml:space="preserve"> – Comunicazioni e disposizioni finali</w:t>
      </w:r>
    </w:p>
    <w:p w:rsidR="00EF316A" w:rsidRDefault="00F6479F">
      <w:pPr>
        <w:jc w:val="both"/>
        <w:rPr>
          <w:rFonts w:ascii="Arial" w:hAnsi="Arial"/>
          <w:color w:val="000000"/>
          <w:sz w:val="24"/>
          <w:szCs w:val="24"/>
        </w:rPr>
      </w:pPr>
      <w:r>
        <w:rPr>
          <w:rFonts w:ascii="Arial" w:hAnsi="Arial"/>
          <w:color w:val="000000"/>
          <w:sz w:val="24"/>
          <w:szCs w:val="24"/>
        </w:rPr>
        <w:t>Il Responsabile del procedimento è il Segretario Generale del SILF. La Segreteria nazionale individua il referente organizzativo del concorso e il soggetto competente all’approvazione delle graduatorie e dei pagamenti, in coerenza con lo Statuto e i regola</w:t>
      </w:r>
      <w:r>
        <w:rPr>
          <w:rFonts w:ascii="Arial" w:hAnsi="Arial"/>
          <w:color w:val="000000"/>
          <w:sz w:val="24"/>
          <w:szCs w:val="24"/>
        </w:rPr>
        <w:t xml:space="preserve">menti SILF. </w:t>
      </w:r>
    </w:p>
    <w:p w:rsidR="00EF316A" w:rsidRDefault="00F6479F">
      <w:pPr>
        <w:jc w:val="both"/>
        <w:rPr>
          <w:rFonts w:ascii="Arial" w:hAnsi="Arial"/>
          <w:color w:val="000000"/>
          <w:sz w:val="24"/>
          <w:szCs w:val="24"/>
        </w:rPr>
      </w:pPr>
      <w:r>
        <w:rPr>
          <w:rFonts w:ascii="Arial" w:hAnsi="Arial"/>
          <w:color w:val="000000"/>
          <w:sz w:val="24"/>
          <w:szCs w:val="24"/>
        </w:rPr>
        <w:t>Per informazioni:</w:t>
      </w:r>
      <w:r>
        <w:rPr>
          <w:rFonts w:ascii="Arial" w:hAnsi="Arial"/>
          <w:color w:val="000000"/>
          <w:sz w:val="24"/>
          <w:szCs w:val="24"/>
        </w:rPr>
        <w:t xml:space="preserve"> </w:t>
      </w:r>
      <w:hyperlink r:id="rId9">
        <w:r>
          <w:rPr>
            <w:rStyle w:val="CollegamentoInternet"/>
            <w:rFonts w:ascii="Arial" w:hAnsi="Arial"/>
            <w:sz w:val="24"/>
            <w:szCs w:val="24"/>
          </w:rPr>
          <w:t>organizzazione</w:t>
        </w:r>
        <w:r>
          <w:rPr>
            <w:rStyle w:val="CollegamentoInternet"/>
            <w:rFonts w:ascii="Arial" w:hAnsi="Arial"/>
            <w:color w:val="000000"/>
            <w:sz w:val="24"/>
            <w:szCs w:val="24"/>
          </w:rPr>
          <w:t>@silfnazionale.it</w:t>
        </w:r>
      </w:hyperlink>
      <w:r>
        <w:rPr>
          <w:rFonts w:ascii="Arial" w:hAnsi="Arial"/>
          <w:color w:val="000000"/>
          <w:sz w:val="24"/>
          <w:szCs w:val="24"/>
        </w:rPr>
        <w:t>.  Per la pres</w:t>
      </w:r>
      <w:r>
        <w:rPr>
          <w:rFonts w:ascii="Arial" w:hAnsi="Arial"/>
          <w:color w:val="000000"/>
          <w:sz w:val="24"/>
          <w:szCs w:val="24"/>
        </w:rPr>
        <w:t xml:space="preserve">entazione delle domande e delle richieste di riesame: </w:t>
      </w:r>
      <w:hyperlink r:id="rId10">
        <w:r>
          <w:rPr>
            <w:rStyle w:val="CollegamentoInternet"/>
            <w:rFonts w:ascii="Arial" w:hAnsi="Arial"/>
            <w:color w:val="000000"/>
            <w:sz w:val="24"/>
            <w:szCs w:val="24"/>
          </w:rPr>
          <w:t>segreteriasilf@pec.i</w:t>
        </w:r>
        <w:r>
          <w:rPr>
            <w:rStyle w:val="CollegamentoInternet"/>
            <w:rFonts w:ascii="Arial" w:hAnsi="Arial"/>
            <w:color w:val="000000"/>
            <w:sz w:val="24"/>
            <w:szCs w:val="24"/>
          </w:rPr>
          <w:t>t</w:t>
        </w:r>
      </w:hyperlink>
      <w:r>
        <w:rPr>
          <w:rFonts w:ascii="Arial" w:hAnsi="Arial"/>
          <w:color w:val="000000"/>
          <w:sz w:val="24"/>
          <w:szCs w:val="24"/>
        </w:rPr>
        <w:t xml:space="preserve">.  Eventuali modifiche al bando sono pubblicate sui canali ufficiali prima della scadenza e, ove incidano sulle domande già presentate, comunicate agli interessati. Per quanto non espressamente previsto si applicano le deliberazioni degli organi SILF </w:t>
      </w:r>
      <w:r>
        <w:rPr>
          <w:rFonts w:ascii="Arial" w:hAnsi="Arial"/>
          <w:color w:val="000000"/>
          <w:sz w:val="24"/>
          <w:szCs w:val="24"/>
        </w:rPr>
        <w:t>competenti e la normativa vigente, per quanto applicabile.</w:t>
      </w:r>
    </w:p>
    <w:p w:rsidR="00EF316A" w:rsidRDefault="00F6479F">
      <w:pPr>
        <w:jc w:val="both"/>
        <w:rPr>
          <w:rFonts w:ascii="Arial" w:hAnsi="Arial"/>
          <w:color w:val="000000"/>
          <w:sz w:val="24"/>
          <w:szCs w:val="24"/>
        </w:rPr>
      </w:pPr>
      <w:r>
        <w:rPr>
          <w:rFonts w:ascii="Arial" w:hAnsi="Arial"/>
          <w:color w:val="000000"/>
          <w:sz w:val="24"/>
          <w:szCs w:val="24"/>
        </w:rPr>
        <w:t>Qualsiasi informazione ufficiale e/o comunicazione relativa al presente bando di concorso sarà pubblicata esclusivamente sulla home page del sito internet del Sindacato Italiano Lavoratori Finanzie</w:t>
      </w:r>
      <w:r>
        <w:rPr>
          <w:rFonts w:ascii="Arial" w:hAnsi="Arial"/>
          <w:color w:val="000000"/>
          <w:sz w:val="24"/>
          <w:szCs w:val="24"/>
        </w:rPr>
        <w:t>ri https://www.silfnazionale.it..</w:t>
      </w:r>
    </w:p>
    <w:sectPr w:rsidR="00EF316A">
      <w:footerReference w:type="default" r:id="rId11"/>
      <w:pgSz w:w="12240" w:h="15840"/>
      <w:pgMar w:top="1020" w:right="1134" w:bottom="964" w:left="1134" w:header="0" w:footer="72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6479F" w:rsidRDefault="00F6479F">
      <w:pPr>
        <w:spacing w:after="0" w:line="240" w:lineRule="auto"/>
        <w:rPr>
          <w:rFonts w:hint="eastAsia"/>
        </w:rPr>
      </w:pPr>
      <w:r>
        <w:separator/>
      </w:r>
    </w:p>
  </w:endnote>
  <w:endnote w:type="continuationSeparator" w:id="0">
    <w:p w:rsidR="00F6479F" w:rsidRDefault="00F6479F">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roman"/>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ptos">
    <w:altName w:val="Times New Roman"/>
    <w:charset w:val="00"/>
    <w:family w:val="roman"/>
    <w:pitch w:val="variable"/>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roman"/>
    <w:pitch w:val="variable"/>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316A" w:rsidRDefault="00F6479F">
    <w:pPr>
      <w:pStyle w:val="Normale1"/>
      <w:keepNext/>
      <w:keepLines/>
      <w:spacing w:after="0" w:line="240" w:lineRule="auto"/>
      <w:jc w:val="center"/>
      <w:rPr>
        <w:rFonts w:ascii="Arial" w:eastAsia="Arial" w:hAnsi="Arial" w:cs="Arial"/>
        <w:color w:val="2F5496"/>
        <w:sz w:val="24"/>
        <w:szCs w:val="24"/>
      </w:rPr>
    </w:pPr>
    <w:r>
      <w:rPr>
        <w:rFonts w:ascii="Arial" w:eastAsia="Arial" w:hAnsi="Arial" w:cs="Arial"/>
        <w:color w:val="2F5496"/>
        <w:sz w:val="20"/>
        <w:szCs w:val="20"/>
      </w:rPr>
      <w:t>SILF via Palestro n. 78, 00185 Roma</w:t>
    </w:r>
  </w:p>
  <w:p w:rsidR="00EF316A" w:rsidRDefault="00F6479F">
    <w:pPr>
      <w:pStyle w:val="Normale1"/>
      <w:spacing w:after="0"/>
      <w:jc w:val="center"/>
    </w:pPr>
    <w:r>
      <w:rPr>
        <w:rFonts w:ascii="Arial" w:eastAsia="Arial" w:hAnsi="Arial" w:cs="Arial"/>
        <w:color w:val="2F5496"/>
        <w:sz w:val="20"/>
        <w:szCs w:val="20"/>
      </w:rPr>
      <w:t xml:space="preserve"> email: </w:t>
    </w:r>
    <w:hyperlink r:id="rId1">
      <w:r>
        <w:rPr>
          <w:rFonts w:ascii="Arial" w:eastAsia="Arial" w:hAnsi="Arial" w:cs="Arial"/>
          <w:color w:val="0000FF"/>
          <w:sz w:val="20"/>
          <w:szCs w:val="20"/>
          <w:u w:val="single"/>
        </w:rPr>
        <w:t>segreteria@silfnazionale.it</w:t>
      </w:r>
    </w:hyperlink>
    <w:r>
      <w:rPr>
        <w:rFonts w:ascii="Arial" w:eastAsia="Arial" w:hAnsi="Arial" w:cs="Arial"/>
        <w:color w:val="2F5496"/>
        <w:sz w:val="20"/>
        <w:szCs w:val="20"/>
      </w:rPr>
      <w:t xml:space="preserve"> – pec: </w:t>
    </w:r>
    <w:hyperlink r:id="rId2">
      <w:r>
        <w:rPr>
          <w:rStyle w:val="CollegamentoInternet"/>
          <w:rFonts w:ascii="Arial" w:eastAsia="Arial" w:hAnsi="Arial" w:cs="Arial"/>
          <w:color w:val="0000FF"/>
          <w:sz w:val="20"/>
          <w:szCs w:val="20"/>
        </w:rPr>
        <w:t>segreteriasilf@pec.it</w:t>
      </w:r>
    </w:hyperlink>
  </w:p>
  <w:p w:rsidR="00EF316A" w:rsidRDefault="00EF316A">
    <w:pPr>
      <w:pStyle w:val="Normale1"/>
      <w:spacing w:after="0"/>
      <w:jc w:val="center"/>
      <w:rPr>
        <w:rFonts w:ascii="Arial" w:eastAsia="Arial" w:hAnsi="Arial" w:cs="Arial"/>
        <w:color w:val="0000FF"/>
        <w:u w:val="single"/>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6479F" w:rsidRDefault="00F6479F">
      <w:pPr>
        <w:spacing w:after="0" w:line="240" w:lineRule="auto"/>
        <w:rPr>
          <w:rFonts w:hint="eastAsia"/>
        </w:rPr>
      </w:pPr>
      <w:r>
        <w:separator/>
      </w:r>
    </w:p>
  </w:footnote>
  <w:footnote w:type="continuationSeparator" w:id="0">
    <w:p w:rsidR="00F6479F" w:rsidRDefault="00F6479F">
      <w:pPr>
        <w:spacing w:after="0" w:line="240" w:lineRule="auto"/>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2A2324"/>
    <w:multiLevelType w:val="multilevel"/>
    <w:tmpl w:val="B4CC889E"/>
    <w:lvl w:ilvl="0">
      <w:start w:val="1"/>
      <w:numFmt w:val="decimal"/>
      <w:pStyle w:val="Numeroelenco2"/>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3FDC15FE"/>
    <w:multiLevelType w:val="multilevel"/>
    <w:tmpl w:val="DEF266D0"/>
    <w:lvl w:ilvl="0">
      <w:start w:val="1"/>
      <w:numFmt w:val="bullet"/>
      <w:pStyle w:val="Puntoelenco"/>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482B6DE3"/>
    <w:multiLevelType w:val="multilevel"/>
    <w:tmpl w:val="DDE09790"/>
    <w:lvl w:ilvl="0">
      <w:start w:val="1"/>
      <w:numFmt w:val="decimal"/>
      <w:pStyle w:val="Numeroelenco3"/>
      <w:lvlText w:val="%1"/>
      <w:lvlJc w:val="left"/>
      <w:pPr>
        <w:tabs>
          <w:tab w:val="num" w:pos="1080"/>
        </w:tabs>
        <w:ind w:left="108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4B8F7CFB"/>
    <w:multiLevelType w:val="multilevel"/>
    <w:tmpl w:val="F7EA7980"/>
    <w:lvl w:ilvl="0">
      <w:start w:val="1"/>
      <w:numFmt w:val="bullet"/>
      <w:pStyle w:val="Puntoelenco2"/>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4D90577E"/>
    <w:multiLevelType w:val="multilevel"/>
    <w:tmpl w:val="6E88D598"/>
    <w:lvl w:ilvl="0">
      <w:start w:val="1"/>
      <w:numFmt w:val="bullet"/>
      <w:pStyle w:val="Puntoelenco3"/>
      <w:lvlText w:val=""/>
      <w:lvlJc w:val="left"/>
      <w:pPr>
        <w:tabs>
          <w:tab w:val="num" w:pos="1080"/>
        </w:tabs>
        <w:ind w:left="108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66F751EC"/>
    <w:multiLevelType w:val="multilevel"/>
    <w:tmpl w:val="21BA1F0A"/>
    <w:lvl w:ilvl="0">
      <w:start w:val="1"/>
      <w:numFmt w:val="decimal"/>
      <w:pStyle w:val="Numeroelenco"/>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748B5CA5"/>
    <w:multiLevelType w:val="multilevel"/>
    <w:tmpl w:val="E2149E1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
  </w:num>
  <w:num w:numId="2">
    <w:abstractNumId w:val="3"/>
  </w:num>
  <w:num w:numId="3">
    <w:abstractNumId w:val="4"/>
  </w:num>
  <w:num w:numId="4">
    <w:abstractNumId w:val="5"/>
  </w:num>
  <w:num w:numId="5">
    <w:abstractNumId w:val="0"/>
  </w:num>
  <w:num w:numId="6">
    <w:abstractNumId w:val="2"/>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defaultTabStop w:val="720"/>
  <w:autoHyphenation/>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316A"/>
    <w:rsid w:val="003F2C81"/>
    <w:rsid w:val="00EF316A"/>
    <w:rsid w:val="00F6479F"/>
  </w:rsids>
  <m:mathPr>
    <m:mathFont m:val="Cambria Math"/>
    <m:brkBin m:val="before"/>
    <m:brkBinSub m:val="--"/>
    <m:smallFrac m:val="0"/>
    <m:dispDef/>
    <m:lMargin m:val="0"/>
    <m:rMargin m:val="0"/>
    <m:defJc m:val="centerGroup"/>
    <m:wrapIndent m:val="1440"/>
    <m:intLim m:val="subSup"/>
    <m:naryLim m:val="undOvr"/>
  </m:mathPr>
  <w:themeFontLang w:val="it-I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22B7F2"/>
  <w15:docId w15:val="{44438955-944A-4D36-BB50-0C03804AE1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mbria" w:eastAsia="MS Mincho" w:hAnsi="Cambria" w:cs="Tahoma"/>
        <w:sz w:val="22"/>
        <w:szCs w:val="22"/>
        <w:lang w:val="it-IT"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pPr>
      <w:spacing w:after="100" w:line="259" w:lineRule="auto"/>
    </w:pPr>
    <w:rPr>
      <w:rFonts w:ascii="Aptos" w:hAnsi="Aptos"/>
      <w:sz w:val="21"/>
    </w:rPr>
  </w:style>
  <w:style w:type="paragraph" w:styleId="Titolo1">
    <w:name w:val="heading 1"/>
    <w:basedOn w:val="Normale"/>
    <w:next w:val="Normale"/>
    <w:uiPriority w:val="9"/>
    <w:qFormat/>
    <w:pPr>
      <w:keepNext/>
      <w:keepLines/>
      <w:spacing w:before="240"/>
      <w:outlineLvl w:val="0"/>
    </w:pPr>
    <w:rPr>
      <w:rFonts w:ascii="Calibri" w:eastAsia="MS Gothic" w:hAnsi="Calibri"/>
      <w:b/>
      <w:bCs/>
      <w:color w:val="1F4E79"/>
      <w:sz w:val="28"/>
      <w:szCs w:val="28"/>
    </w:rPr>
  </w:style>
  <w:style w:type="paragraph" w:styleId="Titolo2">
    <w:name w:val="heading 2"/>
    <w:basedOn w:val="Normale"/>
    <w:next w:val="Normale"/>
    <w:uiPriority w:val="9"/>
    <w:semiHidden/>
    <w:unhideWhenUsed/>
    <w:qFormat/>
    <w:pPr>
      <w:keepNext/>
      <w:keepLines/>
      <w:spacing w:before="200" w:after="0"/>
      <w:outlineLvl w:val="1"/>
    </w:pPr>
    <w:rPr>
      <w:rFonts w:ascii="Calibri" w:eastAsia="MS Gothic" w:hAnsi="Calibri"/>
      <w:b/>
      <w:bCs/>
      <w:color w:val="4F81BD"/>
      <w:sz w:val="26"/>
      <w:szCs w:val="26"/>
    </w:rPr>
  </w:style>
  <w:style w:type="paragraph" w:styleId="Titolo3">
    <w:name w:val="heading 3"/>
    <w:basedOn w:val="Normale"/>
    <w:next w:val="Normale"/>
    <w:uiPriority w:val="9"/>
    <w:semiHidden/>
    <w:unhideWhenUsed/>
    <w:qFormat/>
    <w:pPr>
      <w:keepNext/>
      <w:keepLines/>
      <w:spacing w:before="200" w:after="0"/>
      <w:outlineLvl w:val="2"/>
    </w:pPr>
    <w:rPr>
      <w:rFonts w:ascii="Calibri" w:eastAsia="MS Gothic" w:hAnsi="Calibri"/>
      <w:b/>
      <w:bCs/>
      <w:color w:val="4F81BD"/>
    </w:rPr>
  </w:style>
  <w:style w:type="paragraph" w:styleId="Titolo4">
    <w:name w:val="heading 4"/>
    <w:basedOn w:val="Normale"/>
    <w:next w:val="Normale"/>
    <w:uiPriority w:val="9"/>
    <w:semiHidden/>
    <w:unhideWhenUsed/>
    <w:qFormat/>
    <w:pPr>
      <w:keepNext/>
      <w:keepLines/>
      <w:spacing w:before="200" w:after="0"/>
      <w:outlineLvl w:val="3"/>
    </w:pPr>
    <w:rPr>
      <w:rFonts w:ascii="Calibri" w:eastAsia="MS Gothic" w:hAnsi="Calibri"/>
      <w:b/>
      <w:bCs/>
      <w:i/>
      <w:iCs/>
      <w:color w:val="4F81BD"/>
    </w:rPr>
  </w:style>
  <w:style w:type="paragraph" w:styleId="Titolo5">
    <w:name w:val="heading 5"/>
    <w:basedOn w:val="Normale"/>
    <w:next w:val="Normale"/>
    <w:uiPriority w:val="9"/>
    <w:semiHidden/>
    <w:unhideWhenUsed/>
    <w:qFormat/>
    <w:pPr>
      <w:keepNext/>
      <w:keepLines/>
      <w:spacing w:before="200" w:after="0"/>
      <w:outlineLvl w:val="4"/>
    </w:pPr>
    <w:rPr>
      <w:rFonts w:ascii="Calibri" w:eastAsia="MS Gothic" w:hAnsi="Calibri"/>
      <w:color w:val="243F60"/>
    </w:rPr>
  </w:style>
  <w:style w:type="paragraph" w:styleId="Titolo6">
    <w:name w:val="heading 6"/>
    <w:basedOn w:val="Normale"/>
    <w:next w:val="Normale"/>
    <w:uiPriority w:val="9"/>
    <w:semiHidden/>
    <w:unhideWhenUsed/>
    <w:qFormat/>
    <w:pPr>
      <w:keepNext/>
      <w:keepLines/>
      <w:spacing w:before="200" w:after="0"/>
      <w:outlineLvl w:val="5"/>
    </w:pPr>
    <w:rPr>
      <w:rFonts w:ascii="Calibri" w:eastAsia="MS Gothic" w:hAnsi="Calibri"/>
      <w:i/>
      <w:iCs/>
      <w:color w:val="243F60"/>
    </w:rPr>
  </w:style>
  <w:style w:type="paragraph" w:styleId="Titolo7">
    <w:name w:val="heading 7"/>
    <w:basedOn w:val="Normale"/>
    <w:next w:val="Normale"/>
    <w:qFormat/>
    <w:pPr>
      <w:keepNext/>
      <w:keepLines/>
      <w:spacing w:before="200" w:after="0"/>
      <w:outlineLvl w:val="6"/>
    </w:pPr>
    <w:rPr>
      <w:rFonts w:ascii="Calibri" w:eastAsia="MS Gothic" w:hAnsi="Calibri"/>
      <w:i/>
      <w:iCs/>
      <w:color w:val="404040"/>
    </w:rPr>
  </w:style>
  <w:style w:type="paragraph" w:styleId="Titolo8">
    <w:name w:val="heading 8"/>
    <w:basedOn w:val="Normale"/>
    <w:next w:val="Normale"/>
    <w:qFormat/>
    <w:pPr>
      <w:keepNext/>
      <w:keepLines/>
      <w:spacing w:before="200" w:after="0"/>
      <w:outlineLvl w:val="7"/>
    </w:pPr>
    <w:rPr>
      <w:rFonts w:ascii="Calibri" w:eastAsia="MS Gothic" w:hAnsi="Calibri"/>
      <w:color w:val="4F81BD"/>
      <w:sz w:val="20"/>
      <w:szCs w:val="20"/>
    </w:rPr>
  </w:style>
  <w:style w:type="paragraph" w:styleId="Titolo9">
    <w:name w:val="heading 9"/>
    <w:basedOn w:val="Normale"/>
    <w:next w:val="Normale"/>
    <w:qFormat/>
    <w:pPr>
      <w:keepNext/>
      <w:keepLines/>
      <w:spacing w:before="200" w:after="0"/>
      <w:outlineLvl w:val="8"/>
    </w:pPr>
    <w:rPr>
      <w:rFonts w:ascii="Calibri" w:eastAsia="MS Gothic" w:hAnsi="Calibri"/>
      <w:i/>
      <w:iCs/>
      <w:color w:val="404040"/>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HeaderChar">
    <w:name w:val="Header Char"/>
    <w:basedOn w:val="Carpredefinitoparagrafo"/>
    <w:qFormat/>
  </w:style>
  <w:style w:type="character" w:customStyle="1" w:styleId="FooterChar">
    <w:name w:val="Footer Char"/>
    <w:basedOn w:val="Carpredefinitoparagrafo"/>
    <w:qFormat/>
  </w:style>
  <w:style w:type="character" w:customStyle="1" w:styleId="Heading1Char">
    <w:name w:val="Heading 1 Char"/>
    <w:basedOn w:val="Carpredefinitoparagrafo"/>
    <w:qFormat/>
    <w:rPr>
      <w:rFonts w:ascii="Calibri" w:eastAsia="MS Gothic" w:hAnsi="Calibri" w:cs="Tahoma"/>
      <w:b/>
      <w:bCs/>
      <w:color w:val="365F91"/>
      <w:sz w:val="28"/>
      <w:szCs w:val="28"/>
    </w:rPr>
  </w:style>
  <w:style w:type="character" w:customStyle="1" w:styleId="Heading2Char">
    <w:name w:val="Heading 2 Char"/>
    <w:basedOn w:val="Carpredefinitoparagrafo"/>
    <w:qFormat/>
    <w:rPr>
      <w:rFonts w:ascii="Calibri" w:eastAsia="MS Gothic" w:hAnsi="Calibri" w:cs="Tahoma"/>
      <w:b/>
      <w:bCs/>
      <w:color w:val="4F81BD"/>
      <w:sz w:val="26"/>
      <w:szCs w:val="26"/>
    </w:rPr>
  </w:style>
  <w:style w:type="character" w:customStyle="1" w:styleId="Heading3Char">
    <w:name w:val="Heading 3 Char"/>
    <w:basedOn w:val="Carpredefinitoparagrafo"/>
    <w:qFormat/>
    <w:rPr>
      <w:rFonts w:ascii="Calibri" w:eastAsia="MS Gothic" w:hAnsi="Calibri" w:cs="Tahoma"/>
      <w:b/>
      <w:bCs/>
      <w:color w:val="4F81BD"/>
    </w:rPr>
  </w:style>
  <w:style w:type="character" w:customStyle="1" w:styleId="TitleChar">
    <w:name w:val="Title Char"/>
    <w:basedOn w:val="Carpredefinitoparagrafo"/>
    <w:qFormat/>
    <w:rPr>
      <w:rFonts w:ascii="Calibri" w:eastAsia="MS Gothic" w:hAnsi="Calibri" w:cs="Tahoma"/>
      <w:color w:val="17365D"/>
      <w:spacing w:val="5"/>
      <w:kern w:val="2"/>
      <w:sz w:val="52"/>
      <w:szCs w:val="52"/>
    </w:rPr>
  </w:style>
  <w:style w:type="character" w:customStyle="1" w:styleId="SubtitleChar">
    <w:name w:val="Subtitle Char"/>
    <w:basedOn w:val="Carpredefinitoparagrafo"/>
    <w:qFormat/>
    <w:rPr>
      <w:rFonts w:ascii="Calibri" w:eastAsia="MS Gothic" w:hAnsi="Calibri" w:cs="Tahoma"/>
      <w:i/>
      <w:iCs/>
      <w:color w:val="4F81BD"/>
      <w:spacing w:val="15"/>
      <w:sz w:val="24"/>
      <w:szCs w:val="24"/>
    </w:rPr>
  </w:style>
  <w:style w:type="character" w:customStyle="1" w:styleId="BodyTextChar">
    <w:name w:val="Body Text Char"/>
    <w:basedOn w:val="Carpredefinitoparagrafo"/>
    <w:qFormat/>
  </w:style>
  <w:style w:type="character" w:customStyle="1" w:styleId="BodyText2Char">
    <w:name w:val="Body Text 2 Char"/>
    <w:basedOn w:val="Carpredefinitoparagrafo"/>
    <w:qFormat/>
  </w:style>
  <w:style w:type="character" w:customStyle="1" w:styleId="BodyText3Char">
    <w:name w:val="Body Text 3 Char"/>
    <w:basedOn w:val="Carpredefinitoparagrafo"/>
    <w:qFormat/>
    <w:rPr>
      <w:sz w:val="16"/>
      <w:szCs w:val="16"/>
    </w:rPr>
  </w:style>
  <w:style w:type="character" w:customStyle="1" w:styleId="MacroTextChar">
    <w:name w:val="Macro Text Char"/>
    <w:basedOn w:val="Carpredefinitoparagrafo"/>
    <w:qFormat/>
    <w:rPr>
      <w:rFonts w:ascii="Courier" w:hAnsi="Courier"/>
      <w:sz w:val="20"/>
      <w:szCs w:val="20"/>
    </w:rPr>
  </w:style>
  <w:style w:type="character" w:customStyle="1" w:styleId="QuoteChar">
    <w:name w:val="Quote Char"/>
    <w:basedOn w:val="Carpredefinitoparagrafo"/>
    <w:qFormat/>
    <w:rPr>
      <w:i/>
      <w:iCs/>
      <w:color w:val="000000"/>
    </w:rPr>
  </w:style>
  <w:style w:type="character" w:customStyle="1" w:styleId="Heading4Char">
    <w:name w:val="Heading 4 Char"/>
    <w:basedOn w:val="Carpredefinitoparagrafo"/>
    <w:qFormat/>
    <w:rPr>
      <w:rFonts w:ascii="Calibri" w:eastAsia="MS Gothic" w:hAnsi="Calibri" w:cs="Tahoma"/>
      <w:b/>
      <w:bCs/>
      <w:i/>
      <w:iCs/>
      <w:color w:val="4F81BD"/>
    </w:rPr>
  </w:style>
  <w:style w:type="character" w:customStyle="1" w:styleId="Heading5Char">
    <w:name w:val="Heading 5 Char"/>
    <w:basedOn w:val="Carpredefinitoparagrafo"/>
    <w:qFormat/>
    <w:rPr>
      <w:rFonts w:ascii="Calibri" w:eastAsia="MS Gothic" w:hAnsi="Calibri" w:cs="Tahoma"/>
      <w:color w:val="243F60"/>
    </w:rPr>
  </w:style>
  <w:style w:type="character" w:customStyle="1" w:styleId="Heading6Char">
    <w:name w:val="Heading 6 Char"/>
    <w:basedOn w:val="Carpredefinitoparagrafo"/>
    <w:qFormat/>
    <w:rPr>
      <w:rFonts w:ascii="Calibri" w:eastAsia="MS Gothic" w:hAnsi="Calibri" w:cs="Tahoma"/>
      <w:i/>
      <w:iCs/>
      <w:color w:val="243F60"/>
    </w:rPr>
  </w:style>
  <w:style w:type="character" w:customStyle="1" w:styleId="Heading7Char">
    <w:name w:val="Heading 7 Char"/>
    <w:basedOn w:val="Carpredefinitoparagrafo"/>
    <w:qFormat/>
    <w:rPr>
      <w:rFonts w:ascii="Calibri" w:eastAsia="MS Gothic" w:hAnsi="Calibri" w:cs="Tahoma"/>
      <w:i/>
      <w:iCs/>
      <w:color w:val="404040"/>
    </w:rPr>
  </w:style>
  <w:style w:type="character" w:customStyle="1" w:styleId="Heading8Char">
    <w:name w:val="Heading 8 Char"/>
    <w:basedOn w:val="Carpredefinitoparagrafo"/>
    <w:qFormat/>
    <w:rPr>
      <w:rFonts w:ascii="Calibri" w:eastAsia="MS Gothic" w:hAnsi="Calibri" w:cs="Tahoma"/>
      <w:color w:val="4F81BD"/>
      <w:sz w:val="20"/>
      <w:szCs w:val="20"/>
    </w:rPr>
  </w:style>
  <w:style w:type="character" w:customStyle="1" w:styleId="Heading9Char">
    <w:name w:val="Heading 9 Char"/>
    <w:basedOn w:val="Carpredefinitoparagrafo"/>
    <w:qFormat/>
    <w:rPr>
      <w:rFonts w:ascii="Calibri" w:eastAsia="MS Gothic" w:hAnsi="Calibri" w:cs="Tahoma"/>
      <w:i/>
      <w:iCs/>
      <w:color w:val="404040"/>
      <w:sz w:val="20"/>
      <w:szCs w:val="20"/>
    </w:rPr>
  </w:style>
  <w:style w:type="character" w:styleId="Enfasigrassetto">
    <w:name w:val="Strong"/>
    <w:basedOn w:val="Carpredefinitoparagrafo"/>
    <w:qFormat/>
    <w:rPr>
      <w:b/>
      <w:bCs/>
    </w:rPr>
  </w:style>
  <w:style w:type="character" w:customStyle="1" w:styleId="Enfasi">
    <w:name w:val="Enfasi"/>
    <w:basedOn w:val="Carpredefinitoparagrafo"/>
    <w:qFormat/>
    <w:rPr>
      <w:i/>
      <w:iCs/>
    </w:rPr>
  </w:style>
  <w:style w:type="character" w:customStyle="1" w:styleId="IntenseQuoteChar">
    <w:name w:val="Intense Quote Char"/>
    <w:basedOn w:val="Carpredefinitoparagrafo"/>
    <w:qFormat/>
    <w:rPr>
      <w:b/>
      <w:bCs/>
      <w:i/>
      <w:iCs/>
      <w:color w:val="4F81BD"/>
    </w:rPr>
  </w:style>
  <w:style w:type="character" w:styleId="Enfasidelicata">
    <w:name w:val="Subtle Emphasis"/>
    <w:basedOn w:val="Carpredefinitoparagrafo"/>
    <w:qFormat/>
    <w:rPr>
      <w:i/>
      <w:iCs/>
      <w:color w:val="808080"/>
    </w:rPr>
  </w:style>
  <w:style w:type="character" w:styleId="Enfasiintensa">
    <w:name w:val="Intense Emphasis"/>
    <w:basedOn w:val="Carpredefinitoparagrafo"/>
    <w:qFormat/>
    <w:rPr>
      <w:b/>
      <w:bCs/>
      <w:i/>
      <w:iCs/>
      <w:color w:val="4F81BD"/>
    </w:rPr>
  </w:style>
  <w:style w:type="character" w:styleId="Riferimentodelicato">
    <w:name w:val="Subtle Reference"/>
    <w:basedOn w:val="Carpredefinitoparagrafo"/>
    <w:qFormat/>
    <w:rPr>
      <w:smallCaps/>
      <w:color w:val="C0504D"/>
      <w:u w:val="single"/>
    </w:rPr>
  </w:style>
  <w:style w:type="character" w:styleId="Riferimentointenso">
    <w:name w:val="Intense Reference"/>
    <w:basedOn w:val="Carpredefinitoparagrafo"/>
    <w:qFormat/>
    <w:rPr>
      <w:b/>
      <w:bCs/>
      <w:smallCaps/>
      <w:color w:val="C0504D"/>
      <w:spacing w:val="5"/>
      <w:u w:val="single"/>
    </w:rPr>
  </w:style>
  <w:style w:type="character" w:styleId="Titolodellibro">
    <w:name w:val="Book Title"/>
    <w:basedOn w:val="Carpredefinitoparagrafo"/>
    <w:qFormat/>
    <w:rPr>
      <w:b/>
      <w:bCs/>
      <w:smallCaps/>
      <w:spacing w:val="5"/>
    </w:rPr>
  </w:style>
  <w:style w:type="character" w:customStyle="1" w:styleId="CollegamentoInternet">
    <w:name w:val="Collegamento Internet"/>
    <w:rPr>
      <w:color w:val="000080"/>
      <w:u w:val="single"/>
    </w:rPr>
  </w:style>
  <w:style w:type="paragraph" w:styleId="Titolo">
    <w:name w:val="Title"/>
    <w:basedOn w:val="Normale"/>
    <w:next w:val="Corpotesto"/>
    <w:uiPriority w:val="10"/>
    <w:qFormat/>
    <w:pPr>
      <w:pBdr>
        <w:bottom w:val="single" w:sz="8" w:space="4" w:color="4F81BD"/>
      </w:pBdr>
      <w:spacing w:after="300" w:line="240" w:lineRule="auto"/>
      <w:contextualSpacing/>
    </w:pPr>
    <w:rPr>
      <w:rFonts w:ascii="Calibri" w:eastAsia="MS Gothic" w:hAnsi="Calibri"/>
      <w:color w:val="17365D"/>
      <w:spacing w:val="5"/>
      <w:kern w:val="2"/>
      <w:sz w:val="52"/>
      <w:szCs w:val="52"/>
    </w:rPr>
  </w:style>
  <w:style w:type="paragraph" w:styleId="Corpotesto">
    <w:name w:val="Body Text"/>
    <w:basedOn w:val="Normale"/>
    <w:pPr>
      <w:spacing w:after="120"/>
    </w:pPr>
  </w:style>
  <w:style w:type="paragraph" w:styleId="Elenco">
    <w:name w:val="List"/>
    <w:basedOn w:val="Normale"/>
    <w:pPr>
      <w:ind w:left="360" w:hanging="360"/>
      <w:contextualSpacing/>
    </w:pPr>
  </w:style>
  <w:style w:type="paragraph" w:styleId="Didascalia">
    <w:name w:val="caption"/>
    <w:basedOn w:val="Normale"/>
    <w:next w:val="Normale"/>
    <w:qFormat/>
    <w:pPr>
      <w:spacing w:line="240" w:lineRule="auto"/>
    </w:pPr>
    <w:rPr>
      <w:b/>
      <w:bCs/>
      <w:color w:val="4F81BD"/>
      <w:sz w:val="18"/>
      <w:szCs w:val="18"/>
    </w:rPr>
  </w:style>
  <w:style w:type="paragraph" w:customStyle="1" w:styleId="Indice">
    <w:name w:val="Indice"/>
    <w:basedOn w:val="Normale"/>
    <w:qFormat/>
    <w:pPr>
      <w:suppressLineNumbers/>
    </w:pPr>
    <w:rPr>
      <w:rFonts w:cs="Lucida Sans"/>
    </w:rPr>
  </w:style>
  <w:style w:type="paragraph" w:customStyle="1" w:styleId="Intestazioneepidipagina">
    <w:name w:val="Intestazione e piè di pagina"/>
    <w:basedOn w:val="Normale"/>
    <w:qFormat/>
  </w:style>
  <w:style w:type="paragraph" w:styleId="Intestazione">
    <w:name w:val="header"/>
    <w:basedOn w:val="Normale"/>
    <w:pPr>
      <w:tabs>
        <w:tab w:val="center" w:pos="4680"/>
        <w:tab w:val="right" w:pos="9360"/>
      </w:tabs>
      <w:spacing w:after="0" w:line="240" w:lineRule="auto"/>
    </w:pPr>
  </w:style>
  <w:style w:type="paragraph" w:styleId="Pidipagina">
    <w:name w:val="footer"/>
    <w:basedOn w:val="Normale"/>
    <w:pPr>
      <w:tabs>
        <w:tab w:val="center" w:pos="4680"/>
        <w:tab w:val="right" w:pos="9360"/>
      </w:tabs>
      <w:spacing w:after="0" w:line="240" w:lineRule="auto"/>
    </w:pPr>
  </w:style>
  <w:style w:type="paragraph" w:styleId="Nessunaspaziatura">
    <w:name w:val="No Spacing"/>
    <w:qFormat/>
  </w:style>
  <w:style w:type="paragraph" w:styleId="Sottotitolo">
    <w:name w:val="Subtitle"/>
    <w:basedOn w:val="Normale"/>
    <w:next w:val="Normale"/>
    <w:uiPriority w:val="11"/>
    <w:qFormat/>
    <w:rPr>
      <w:rFonts w:ascii="Calibri" w:eastAsia="MS Gothic" w:hAnsi="Calibri"/>
      <w:i/>
      <w:iCs/>
      <w:color w:val="4F81BD"/>
      <w:spacing w:val="15"/>
      <w:sz w:val="24"/>
      <w:szCs w:val="24"/>
    </w:rPr>
  </w:style>
  <w:style w:type="paragraph" w:styleId="Paragrafoelenco">
    <w:name w:val="List Paragraph"/>
    <w:basedOn w:val="Normale"/>
    <w:qFormat/>
    <w:pPr>
      <w:ind w:left="720"/>
      <w:contextualSpacing/>
    </w:pPr>
  </w:style>
  <w:style w:type="paragraph" w:styleId="Corpodeltesto2">
    <w:name w:val="Body Text 2"/>
    <w:basedOn w:val="Normale"/>
    <w:qFormat/>
    <w:pPr>
      <w:spacing w:after="120" w:line="480" w:lineRule="auto"/>
    </w:pPr>
  </w:style>
  <w:style w:type="paragraph" w:styleId="Corpodeltesto3">
    <w:name w:val="Body Text 3"/>
    <w:basedOn w:val="Normale"/>
    <w:qFormat/>
    <w:pPr>
      <w:spacing w:after="120"/>
    </w:pPr>
    <w:rPr>
      <w:sz w:val="16"/>
      <w:szCs w:val="16"/>
    </w:rPr>
  </w:style>
  <w:style w:type="paragraph" w:styleId="Puntoelenco3">
    <w:name w:val="List Bullet 3"/>
    <w:basedOn w:val="Normale"/>
    <w:qFormat/>
    <w:pPr>
      <w:numPr>
        <w:numId w:val="3"/>
      </w:numPr>
      <w:contextualSpacing/>
    </w:pPr>
  </w:style>
  <w:style w:type="paragraph" w:styleId="Puntoelenco4">
    <w:name w:val="List Bullet 4"/>
    <w:basedOn w:val="Normale"/>
    <w:qFormat/>
    <w:pPr>
      <w:ind w:left="1080" w:hanging="360"/>
      <w:contextualSpacing/>
    </w:pPr>
  </w:style>
  <w:style w:type="paragraph" w:styleId="Puntoelenco">
    <w:name w:val="List Bullet"/>
    <w:basedOn w:val="Normale"/>
    <w:qFormat/>
    <w:pPr>
      <w:numPr>
        <w:numId w:val="1"/>
      </w:numPr>
      <w:contextualSpacing/>
    </w:pPr>
  </w:style>
  <w:style w:type="paragraph" w:styleId="Puntoelenco2">
    <w:name w:val="List Bullet 2"/>
    <w:basedOn w:val="Normale"/>
    <w:qFormat/>
    <w:pPr>
      <w:numPr>
        <w:numId w:val="2"/>
      </w:numPr>
      <w:contextualSpacing/>
    </w:pPr>
  </w:style>
  <w:style w:type="paragraph" w:styleId="Numeroelenco">
    <w:name w:val="List Number"/>
    <w:basedOn w:val="Normale"/>
    <w:qFormat/>
    <w:pPr>
      <w:numPr>
        <w:numId w:val="4"/>
      </w:numPr>
      <w:contextualSpacing/>
    </w:pPr>
  </w:style>
  <w:style w:type="paragraph" w:styleId="Numeroelenco2">
    <w:name w:val="List Number 2"/>
    <w:basedOn w:val="Normale"/>
    <w:qFormat/>
    <w:pPr>
      <w:numPr>
        <w:numId w:val="5"/>
      </w:numPr>
      <w:contextualSpacing/>
    </w:pPr>
  </w:style>
  <w:style w:type="paragraph" w:styleId="Numeroelenco3">
    <w:name w:val="List Number 3"/>
    <w:basedOn w:val="Normale"/>
    <w:qFormat/>
    <w:pPr>
      <w:numPr>
        <w:numId w:val="6"/>
      </w:numPr>
      <w:contextualSpacing/>
    </w:pPr>
  </w:style>
  <w:style w:type="paragraph" w:styleId="Elencocontinua">
    <w:name w:val="List Continue"/>
    <w:basedOn w:val="Normale"/>
    <w:qFormat/>
    <w:pPr>
      <w:spacing w:after="120"/>
      <w:ind w:left="360"/>
      <w:contextualSpacing/>
    </w:pPr>
  </w:style>
  <w:style w:type="paragraph" w:styleId="Elencocontinua2">
    <w:name w:val="List Continue 2"/>
    <w:basedOn w:val="Normale"/>
    <w:qFormat/>
    <w:pPr>
      <w:spacing w:after="120"/>
      <w:ind w:left="720"/>
      <w:contextualSpacing/>
    </w:pPr>
  </w:style>
  <w:style w:type="paragraph" w:styleId="Elencocontinua3">
    <w:name w:val="List Continue 3"/>
    <w:basedOn w:val="Normale"/>
    <w:qFormat/>
    <w:pPr>
      <w:spacing w:after="120"/>
      <w:ind w:left="1080"/>
      <w:contextualSpacing/>
    </w:pPr>
  </w:style>
  <w:style w:type="paragraph" w:styleId="Testomacro">
    <w:name w:val="macro"/>
    <w:qFormat/>
    <w:pPr>
      <w:tabs>
        <w:tab w:val="left" w:pos="576"/>
        <w:tab w:val="left" w:pos="1152"/>
        <w:tab w:val="left" w:pos="1728"/>
        <w:tab w:val="left" w:pos="2304"/>
        <w:tab w:val="left" w:pos="2880"/>
        <w:tab w:val="left" w:pos="3456"/>
        <w:tab w:val="left" w:pos="4032"/>
      </w:tabs>
      <w:spacing w:after="200" w:line="276" w:lineRule="auto"/>
    </w:pPr>
    <w:rPr>
      <w:rFonts w:ascii="Courier" w:hAnsi="Courier"/>
      <w:sz w:val="20"/>
      <w:szCs w:val="20"/>
    </w:rPr>
  </w:style>
  <w:style w:type="paragraph" w:styleId="Citazione">
    <w:name w:val="Quote"/>
    <w:basedOn w:val="Normale"/>
    <w:next w:val="Normale"/>
    <w:qFormat/>
    <w:rPr>
      <w:i/>
      <w:iCs/>
      <w:color w:val="000000"/>
    </w:rPr>
  </w:style>
  <w:style w:type="paragraph" w:styleId="Citazioneintensa">
    <w:name w:val="Intense Quote"/>
    <w:basedOn w:val="Normale"/>
    <w:next w:val="Normale"/>
    <w:qFormat/>
    <w:pPr>
      <w:pBdr>
        <w:bottom w:val="single" w:sz="4" w:space="4" w:color="4F81BD"/>
      </w:pBdr>
      <w:spacing w:before="200" w:after="280"/>
      <w:ind w:left="936" w:right="936"/>
    </w:pPr>
    <w:rPr>
      <w:b/>
      <w:bCs/>
      <w:i/>
      <w:iCs/>
      <w:color w:val="4F81BD"/>
    </w:rPr>
  </w:style>
  <w:style w:type="paragraph" w:styleId="Titolosommario">
    <w:name w:val="TOC Heading"/>
    <w:basedOn w:val="Titolo1"/>
    <w:next w:val="Normale"/>
    <w:qFormat/>
  </w:style>
  <w:style w:type="paragraph" w:customStyle="1" w:styleId="Contenutotabella">
    <w:name w:val="Contenuto tabella"/>
    <w:basedOn w:val="Normale"/>
    <w:qFormat/>
    <w:pPr>
      <w:widowControl w:val="0"/>
      <w:suppressLineNumbers/>
    </w:pPr>
  </w:style>
  <w:style w:type="paragraph" w:customStyle="1" w:styleId="Normale1">
    <w:name w:val="Normale1"/>
    <w:qFormat/>
    <w:pPr>
      <w:spacing w:after="160" w:line="259" w:lineRule="auto"/>
    </w:pPr>
    <w:rPr>
      <w:rFonts w:ascii="Calibri" w:eastAsia="Calibri" w:hAnsi="Calibri" w:cs="Calibri"/>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mailto:segreteriasilf@pec.it"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segreteriasilf@pec.it" TargetMode="External"/><Relationship Id="rId4" Type="http://schemas.openxmlformats.org/officeDocument/2006/relationships/webSettings" Target="webSettings.xml"/><Relationship Id="rId9" Type="http://schemas.openxmlformats.org/officeDocument/2006/relationships/hyperlink" Target="mailto:organizzazione@silfnazionale.it"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mailto:segreteriasilf@pec.it" TargetMode="External"/><Relationship Id="rId1" Type="http://schemas.openxmlformats.org/officeDocument/2006/relationships/hyperlink" Target="mailto:segreteria@silfnazionale.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217</TotalTime>
  <Pages>1</Pages>
  <Words>1704</Words>
  <Characters>9715</Characters>
  <Application>Microsoft Office Word</Application>
  <DocSecurity>0</DocSecurity>
  <Lines>80</Lines>
  <Paragraphs>22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11397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dc:description>generated by python-docx</dc:description>
  <cp:lastModifiedBy>giude</cp:lastModifiedBy>
  <cp:revision>19</cp:revision>
  <dcterms:created xsi:type="dcterms:W3CDTF">2013-12-23T23:15:00Z</dcterms:created>
  <dcterms:modified xsi:type="dcterms:W3CDTF">2026-10-29T09:05:00Z</dcterms:modified>
  <dc:language>it-IT</dc:language>
</cp:coreProperties>
</file>